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BDE8" w14:textId="77777777" w:rsidR="007F5397" w:rsidRDefault="007F5397" w:rsidP="007F5397">
      <w:pPr>
        <w:pStyle w:val="a7"/>
        <w:ind w:firstLineChars="0" w:firstLine="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44BA59B4" w14:textId="77777777" w:rsidR="007F5397" w:rsidRDefault="007F5397" w:rsidP="007F5397">
      <w:pPr>
        <w:spacing w:before="0" w:beforeAutospacing="0" w:after="0" w:afterAutospacing="0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档案数字化服务综合评分表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439"/>
        <w:gridCol w:w="7074"/>
        <w:gridCol w:w="861"/>
        <w:gridCol w:w="507"/>
        <w:gridCol w:w="507"/>
        <w:gridCol w:w="507"/>
      </w:tblGrid>
      <w:tr w:rsidR="007F5397" w14:paraId="51F2BBF8" w14:textId="77777777" w:rsidTr="007F5397">
        <w:trPr>
          <w:trHeight w:val="80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021F0" w14:textId="77777777" w:rsidR="007F5397" w:rsidRDefault="007F5397" w:rsidP="00D658B8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项目名称：档案数字化服务</w:t>
            </w:r>
          </w:p>
        </w:tc>
      </w:tr>
      <w:tr w:rsidR="007F5397" w14:paraId="7982CBB8" w14:textId="77777777" w:rsidTr="007F5397">
        <w:trPr>
          <w:trHeight w:val="420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1F361" w14:textId="77777777" w:rsidR="007F5397" w:rsidRDefault="007F5397" w:rsidP="00D658B8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比选地点：贵州省地震局三楼会议室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比选时间：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F5397" w14:paraId="662FC0EB" w14:textId="77777777" w:rsidTr="007F5397">
        <w:trPr>
          <w:trHeight w:val="90"/>
          <w:jc w:val="center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29CE38DF" w14:textId="77777777" w:rsidR="007F5397" w:rsidRDefault="007F5397" w:rsidP="00D658B8">
            <w:pPr>
              <w:spacing w:line="240" w:lineRule="auto"/>
            </w:pPr>
            <w:bookmarkStart w:id="0" w:name="_Hlk101772145"/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供应商名称</w:t>
            </w:r>
          </w:p>
          <w:p w14:paraId="6768938F" w14:textId="77777777" w:rsidR="007F5397" w:rsidRDefault="007F5397" w:rsidP="00D658B8">
            <w:pPr>
              <w:spacing w:line="240" w:lineRule="auto"/>
            </w:pPr>
            <w:r>
              <w:rPr>
                <w:rFonts w:hint="eastAsia"/>
              </w:rPr>
              <w:t>评分项及评分标准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1B8E8" w14:textId="77777777" w:rsidR="007F5397" w:rsidRDefault="007F5397" w:rsidP="007F5397">
            <w:pPr>
              <w:spacing w:line="240" w:lineRule="auto"/>
              <w:jc w:val="center"/>
            </w:pPr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5B99" w14:textId="77777777" w:rsidR="007F5397" w:rsidRDefault="007F5397" w:rsidP="007F5397">
            <w:pPr>
              <w:spacing w:line="240" w:lineRule="auto"/>
              <w:jc w:val="center"/>
            </w:pPr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C2B6" w14:textId="77777777" w:rsidR="007F5397" w:rsidRDefault="007F5397" w:rsidP="007F5397">
            <w:pPr>
              <w:spacing w:line="240" w:lineRule="auto"/>
              <w:jc w:val="center"/>
            </w:pPr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3</w:t>
            </w:r>
          </w:p>
        </w:tc>
      </w:tr>
      <w:tr w:rsidR="007F5397" w14:paraId="54D0C34D" w14:textId="77777777" w:rsidTr="007F5397">
        <w:trPr>
          <w:trHeight w:val="104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4640" w14:textId="77777777" w:rsidR="007F5397" w:rsidRDefault="007F5397" w:rsidP="00D658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AF8B8" w14:textId="77777777" w:rsidR="007F5397" w:rsidRDefault="007F5397" w:rsidP="00D658B8">
            <w:pPr>
              <w:pStyle w:val="TableParagraph"/>
              <w:spacing w:before="50" w:line="297" w:lineRule="auto"/>
              <w:ind w:left="106" w:right="23"/>
              <w:rPr>
                <w:rFonts w:hint="eastAsia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lang w:val="en-US" w:bidi="ar-SA"/>
              </w:rPr>
              <w:t>满足</w:t>
            </w:r>
            <w:r>
              <w:rPr>
                <w:rFonts w:ascii="Calibri" w:hAnsi="Calibri" w:cs="Times New Roman" w:hint="eastAsia"/>
                <w:sz w:val="20"/>
                <w:lang w:val="en-US" w:bidi="ar-SA"/>
              </w:rPr>
              <w:t>招标公告</w:t>
            </w:r>
            <w:r>
              <w:rPr>
                <w:rFonts w:ascii="Calibri" w:hAnsi="Calibri" w:cs="Times New Roman"/>
                <w:sz w:val="20"/>
                <w:lang w:val="en-US" w:bidi="ar-SA"/>
              </w:rPr>
              <w:t>要求且投标价格最低的投标报价为</w:t>
            </w:r>
            <w:r>
              <w:rPr>
                <w:rFonts w:ascii="Calibri" w:hAnsi="Calibri" w:cs="Times New Roman"/>
                <w:sz w:val="20"/>
                <w:lang w:val="en-US" w:bidi="ar-SA"/>
              </w:rPr>
              <w:t xml:space="preserve"> </w:t>
            </w:r>
            <w:r>
              <w:rPr>
                <w:rFonts w:ascii="Calibri" w:hAnsi="Calibri" w:cs="Times New Roman"/>
                <w:sz w:val="20"/>
                <w:lang w:val="en-US" w:bidi="ar-SA"/>
              </w:rPr>
              <w:t>评标基准价，其价格分为满分。其他投标人的价格</w:t>
            </w:r>
            <w:r>
              <w:rPr>
                <w:rFonts w:ascii="Calibri" w:hAnsi="Calibri" w:cs="Times New Roman"/>
                <w:sz w:val="20"/>
                <w:lang w:val="en-US" w:bidi="ar-SA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0"/>
                <w:lang w:val="en-US" w:bidi="ar-SA"/>
              </w:rPr>
              <w:t>分统一</w:t>
            </w:r>
            <w:proofErr w:type="gramEnd"/>
            <w:r>
              <w:rPr>
                <w:rFonts w:ascii="Calibri" w:hAnsi="Calibri" w:cs="Times New Roman"/>
                <w:sz w:val="20"/>
                <w:lang w:val="en-US" w:bidi="ar-SA"/>
              </w:rPr>
              <w:t>按下列公示计算：</w:t>
            </w:r>
            <w:r>
              <w:rPr>
                <w:sz w:val="20"/>
                <w:szCs w:val="20"/>
              </w:rPr>
              <w:t>投标报价得分=（评标基准价/投标报价）×</w:t>
            </w:r>
            <w:r>
              <w:rPr>
                <w:rFonts w:hint="eastAsia"/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% ×100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5ACC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278A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B465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669AD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  <w:tr w:rsidR="007F5397" w14:paraId="45CDBD4A" w14:textId="77777777" w:rsidTr="007F5397">
        <w:trPr>
          <w:trHeight w:val="779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3650" w14:textId="77777777" w:rsidR="007F5397" w:rsidRDefault="007F5397" w:rsidP="00D658B8">
            <w:pPr>
              <w:spacing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96FE" w14:textId="77777777" w:rsidR="007F5397" w:rsidRDefault="007F5397" w:rsidP="00D658B8">
            <w:pPr>
              <w:spacing w:line="340" w:lineRule="exact"/>
              <w:rPr>
                <w:rFonts w:hint="eastAsia"/>
                <w:sz w:val="20"/>
                <w:szCs w:val="20"/>
                <w:highlight w:val="red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服务方案（满分24分）：由评分专家根据方案的科学性、合理性、专业性、可行性进行综合评定。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78BF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0-24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157F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C885F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792E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F5397" w14:paraId="004A2A01" w14:textId="77777777" w:rsidTr="007F5397">
        <w:trPr>
          <w:trHeight w:val="1727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A916" w14:textId="77777777" w:rsidR="007F5397" w:rsidRDefault="007F5397" w:rsidP="00D658B8">
            <w:pPr>
              <w:spacing w:line="24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655E" w14:textId="77777777" w:rsidR="007F5397" w:rsidRDefault="007F5397" w:rsidP="00D658B8">
            <w:pPr>
              <w:spacing w:line="340" w:lineRule="exact"/>
              <w:rPr>
                <w:rFonts w:hint="eastAsia"/>
                <w:sz w:val="20"/>
                <w:szCs w:val="20"/>
                <w:highlight w:val="red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业绩（满分20分）：近三年以来投标人在政府机关或国有企事业单位，单项同时完成包含档案整理和数字化两项内容的服务，且通过验收合格的，每提供1份服务合同计2分，最多得20分。提供相应的合同复印件及验收报告并加盖公章（需携带原件到投标现场备查）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F9FB7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0-20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093F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8098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BFE5E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</w:tr>
      <w:tr w:rsidR="007F5397" w14:paraId="5905214F" w14:textId="77777777" w:rsidTr="007F5397">
        <w:trPr>
          <w:trHeight w:val="797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1146" w14:textId="77777777" w:rsidR="007F5397" w:rsidRDefault="007F5397" w:rsidP="00D658B8">
            <w:pPr>
              <w:spacing w:line="24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58B04" w14:textId="77777777" w:rsidR="007F5397" w:rsidRDefault="007F5397" w:rsidP="00D658B8">
            <w:pPr>
              <w:spacing w:line="340" w:lineRule="exac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售后服务（满分4分）：在满足采购文件要求的情况下，免费提供售后服务每增加1年计2分，最多得4分。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DF7D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0-4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7962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5635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EC2C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</w:tr>
      <w:tr w:rsidR="007F5397" w14:paraId="0B33F78F" w14:textId="77777777" w:rsidTr="007F5397">
        <w:trPr>
          <w:trHeight w:val="104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BEEC" w14:textId="77777777" w:rsidR="007F5397" w:rsidRDefault="007F5397" w:rsidP="00D658B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3ACC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投标人有 IS027001信息安全管理体系认证证书（认证范围必须包含档案管理、档案整理、档案数字化等相关内容）且在有效期内的计2分；</w:t>
            </w:r>
          </w:p>
          <w:p w14:paraId="2134A6DD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投标人有 IS09001质量管理体系认证证书（认证范围必须包含档案管理、档案整理、档案数字化等相关内容）且在有效期内的计2分；</w:t>
            </w:r>
          </w:p>
          <w:p w14:paraId="7BF21E69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投标人有保密局颁发的档案行业涉密资质且在有效期内的计2分；</w:t>
            </w:r>
          </w:p>
          <w:p w14:paraId="12858FD8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投标人有档案相关软件著作权证书的：每个计1分，最多得2分；</w:t>
            </w:r>
          </w:p>
          <w:p w14:paraId="28EC01F3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投标人拟派遣管理人员有国家档案行政主管部门或者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人社部门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颁发的档案专业高级职称的：每提供一份计3分，最多得6分；</w:t>
            </w:r>
          </w:p>
          <w:p w14:paraId="01138EC3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投标人拟派遣管理人员有国家档案行政主管部门或者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人社部门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颁发的档案专业中级职称的：每提供一份计2分，最多得4分；</w:t>
            </w:r>
          </w:p>
          <w:p w14:paraId="66588D41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投标人拟派遣管理人员有国家档案行政主管部门或者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人社部门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颁发的档案专业初级职称的：每提供一份计1分，最多得2分；</w:t>
            </w:r>
          </w:p>
          <w:p w14:paraId="6E2FDC37" w14:textId="77777777" w:rsidR="007F5397" w:rsidRDefault="007F5397" w:rsidP="00D658B8">
            <w:pPr>
              <w:numPr>
                <w:ilvl w:val="0"/>
                <w:numId w:val="1"/>
              </w:numPr>
              <w:spacing w:line="16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投标人拟派遣的操作人员具有档案专业本科及以上证书的，每人计1分，最多得2分；</w:t>
            </w:r>
          </w:p>
          <w:p w14:paraId="3D201AF9" w14:textId="77777777" w:rsidR="007F5397" w:rsidRDefault="007F5397" w:rsidP="00D658B8">
            <w:pPr>
              <w:spacing w:line="160" w:lineRule="atLeast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以上5、6、7、8项中同一人所持各种证书不得重复得分，所有证书均需携带原件至投标现场备查，若评标专家要求提供原件但投标人现场无法提供原件的不计分，投标人中标后在项目实施过程中派遣人员与投标文件中不符的，甲方有权要求中标人整改，整改后仍不合格的，甲方有权终止合同。</w:t>
            </w:r>
          </w:p>
          <w:p w14:paraId="13B79901" w14:textId="77777777" w:rsidR="007F5397" w:rsidRDefault="007F5397" w:rsidP="00D658B8">
            <w:pPr>
              <w:spacing w:line="160" w:lineRule="atLeast"/>
              <w:rPr>
                <w:rFonts w:hint="eastAsia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6FA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0-22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2D5C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E029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87882" w14:textId="77777777" w:rsidR="007F5397" w:rsidRDefault="007F5397" w:rsidP="00D658B8">
            <w:pPr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</w:tr>
      <w:tr w:rsidR="007F5397" w14:paraId="79B11487" w14:textId="77777777" w:rsidTr="007F5397">
        <w:trPr>
          <w:trHeight w:val="465"/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E4BD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得分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024E9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0152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783D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180A4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F5397" w14:paraId="166FDFD1" w14:textId="77777777" w:rsidTr="007F5397">
        <w:trPr>
          <w:trHeight w:val="420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D700A" w14:textId="77777777" w:rsidR="007F5397" w:rsidRDefault="007F5397" w:rsidP="00D658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评标专家（签字）：</w:t>
            </w:r>
          </w:p>
        </w:tc>
      </w:tr>
    </w:tbl>
    <w:p w14:paraId="5E5BD212" w14:textId="77777777" w:rsidR="00051D9F" w:rsidRDefault="00000000"/>
    <w:sectPr w:rsidR="00051D9F" w:rsidSect="007F5397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6DB7" w14:textId="77777777" w:rsidR="00D74457" w:rsidRDefault="00D74457" w:rsidP="007F5397">
      <w:pPr>
        <w:spacing w:before="0" w:after="0" w:line="240" w:lineRule="auto"/>
      </w:pPr>
      <w:r>
        <w:separator/>
      </w:r>
    </w:p>
  </w:endnote>
  <w:endnote w:type="continuationSeparator" w:id="0">
    <w:p w14:paraId="26C1FB3B" w14:textId="77777777" w:rsidR="00D74457" w:rsidRDefault="00D74457" w:rsidP="007F5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EB47" w14:textId="77777777" w:rsidR="00D74457" w:rsidRDefault="00D74457" w:rsidP="007F5397">
      <w:pPr>
        <w:spacing w:before="0" w:after="0" w:line="240" w:lineRule="auto"/>
      </w:pPr>
      <w:r>
        <w:separator/>
      </w:r>
    </w:p>
  </w:footnote>
  <w:footnote w:type="continuationSeparator" w:id="0">
    <w:p w14:paraId="15D5F0C2" w14:textId="77777777" w:rsidR="00D74457" w:rsidRDefault="00D74457" w:rsidP="007F53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725A"/>
    <w:multiLevelType w:val="singleLevel"/>
    <w:tmpl w:val="6649725A"/>
    <w:lvl w:ilvl="0">
      <w:start w:val="1"/>
      <w:numFmt w:val="decimal"/>
      <w:suff w:val="space"/>
      <w:lvlText w:val="%1."/>
      <w:lvlJc w:val="left"/>
    </w:lvl>
  </w:abstractNum>
  <w:num w:numId="1" w16cid:durableId="15587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0"/>
    <w:rsid w:val="00085F90"/>
    <w:rsid w:val="007F5397"/>
    <w:rsid w:val="008A3C5C"/>
    <w:rsid w:val="009651C0"/>
    <w:rsid w:val="00D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52C9E7-F41D-467C-8DA2-B0D8843C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97"/>
    <w:pPr>
      <w:widowControl w:val="0"/>
      <w:spacing w:before="100" w:beforeAutospacing="1" w:after="100" w:afterAutospacing="1" w:line="36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3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397"/>
    <w:rPr>
      <w:sz w:val="18"/>
      <w:szCs w:val="18"/>
    </w:rPr>
  </w:style>
  <w:style w:type="paragraph" w:styleId="a7">
    <w:name w:val="Normal Indent"/>
    <w:basedOn w:val="a"/>
    <w:uiPriority w:val="99"/>
    <w:qFormat/>
    <w:rsid w:val="007F5397"/>
    <w:pPr>
      <w:ind w:firstLineChars="200" w:firstLine="420"/>
    </w:pPr>
    <w:rPr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F5397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成章</dc:creator>
  <cp:keywords/>
  <dc:description/>
  <cp:lastModifiedBy>裴 成章</cp:lastModifiedBy>
  <cp:revision>2</cp:revision>
  <dcterms:created xsi:type="dcterms:W3CDTF">2022-07-29T14:40:00Z</dcterms:created>
  <dcterms:modified xsi:type="dcterms:W3CDTF">2022-07-29T14:42:00Z</dcterms:modified>
</cp:coreProperties>
</file>