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42A9">
      <w:pPr>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919B13C">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贵州省地方标准编制说明</w:t>
      </w:r>
    </w:p>
    <w:p w14:paraId="4F7BCD96">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rPr>
        <w:t>一、项目背景</w:t>
      </w:r>
    </w:p>
    <w:p w14:paraId="0B751618">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（一）全省和国内外产业、技术现状</w:t>
      </w:r>
    </w:p>
    <w:p w14:paraId="4A2F6EE2">
      <w:pPr>
        <w:bidi w:val="0"/>
        <w:rPr>
          <w:rFonts w:hint="eastAsia"/>
          <w:lang w:val="en-US" w:eastAsia="zh-CN"/>
        </w:rPr>
      </w:pPr>
      <w:r>
        <w:rPr>
          <w:rFonts w:hint="eastAsia"/>
        </w:rPr>
        <w:t>地震灾害是“群灾之首”，通常</w:t>
      </w:r>
      <w:r>
        <w:rPr>
          <w:rFonts w:hint="eastAsia"/>
          <w:lang w:val="en-US" w:eastAsia="zh-CN"/>
        </w:rPr>
        <w:t>会</w:t>
      </w:r>
      <w:r>
        <w:rPr>
          <w:rFonts w:hint="eastAsia"/>
        </w:rPr>
        <w:t>引发严重次生灾害和衍生灾害，极易造成人员伤亡、财产损失</w:t>
      </w:r>
      <w:r>
        <w:rPr>
          <w:rFonts w:hint="eastAsia"/>
          <w:lang w:val="en-US" w:eastAsia="zh-CN"/>
        </w:rPr>
        <w:t>和</w:t>
      </w:r>
      <w:r>
        <w:rPr>
          <w:rFonts w:hint="eastAsia"/>
        </w:rPr>
        <w:t>社会经济影响。</w:t>
      </w:r>
      <w:r>
        <w:rPr>
          <w:rFonts w:hint="eastAsia"/>
          <w:lang w:val="en-US" w:eastAsia="zh-CN"/>
        </w:rPr>
        <w:t>贵州省位于南北地震带上，具备发生中强地震的构造条件，地震灾害</w:t>
      </w:r>
      <w:r>
        <w:rPr>
          <w:rFonts w:hint="eastAsia"/>
        </w:rPr>
        <w:t>风险防范</w:t>
      </w:r>
      <w:r>
        <w:rPr>
          <w:rFonts w:hint="eastAsia"/>
          <w:lang w:val="en-US" w:eastAsia="zh-CN"/>
        </w:rPr>
        <w:t>任重道远。</w:t>
      </w:r>
    </w:p>
    <w:p w14:paraId="04937774">
      <w:pPr>
        <w:bidi w:val="0"/>
        <w:rPr>
          <w:rFonts w:hint="eastAsia"/>
        </w:rPr>
      </w:pPr>
      <w:r>
        <w:rPr>
          <w:rFonts w:hint="eastAsia"/>
        </w:rPr>
        <w:t>我国地震灾害风险评估的理论研究和技术实践已有40 余年的历史，从初期的针对典型区域内几类建 (构) 筑物的单体进行抗震能力分析，发展到工作区域内不同结构的群体抗震能力和可能造成的损失及人员伤亡的分布，为城市</w:t>
      </w:r>
      <w:r>
        <w:rPr>
          <w:rFonts w:hint="eastAsia"/>
          <w:lang w:eastAsia="zh-CN"/>
        </w:rPr>
        <w:t>和</w:t>
      </w:r>
      <w:r>
        <w:rPr>
          <w:rFonts w:hint="eastAsia"/>
        </w:rPr>
        <w:t>区域规划</w:t>
      </w:r>
      <w:r>
        <w:rPr>
          <w:rFonts w:hint="eastAsia"/>
          <w:lang w:eastAsia="zh-CN"/>
        </w:rPr>
        <w:t>编制</w:t>
      </w:r>
      <w:r>
        <w:rPr>
          <w:rFonts w:hint="eastAsia"/>
        </w:rPr>
        <w:t>、防灾准备和震时应急评估提供技术支持。自1980年至今，陆续在全国范围120余个城市开展了震害预测工作，形成了一套完整的地震灾害评估相关技术体系，并根据需求拓展到震后地震应急评估以及震前地震预评估等业务领域。同时相继出台了《地震灾害预测及其信息管理系统技术规范》《地震现场工作第4部分：灾害直接损失评估》和《地震灾害间接经济损失评估方法》等一系列国家标准。多年来地震灾害现场调查、评估所积累的经验和大量的结构抗震性能分析和试验研究成果以及百余个城市（地区）震害预测工作的实践，为地震灾害风险评估与区划工作打下坚实的基础。</w:t>
      </w:r>
    </w:p>
    <w:p w14:paraId="3C338909">
      <w:pPr>
        <w:widowControl w:val="0"/>
        <w:spacing w:line="360" w:lineRule="auto"/>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制修订地方标准的必要性和意义</w:t>
      </w:r>
    </w:p>
    <w:p w14:paraId="77A4F83A">
      <w:pPr>
        <w:bidi w:val="0"/>
        <w:rPr>
          <w:rFonts w:hint="eastAsia" w:ascii="仿宋" w:hAnsi="仿宋" w:eastAsia="仿宋" w:cs="宋体"/>
          <w:color w:val="000000"/>
          <w:kern w:val="0"/>
          <w:szCs w:val="32"/>
          <w:lang w:val="en-US" w:eastAsia="zh-CN" w:bidi="ar-SA"/>
        </w:rPr>
      </w:pPr>
      <w:r>
        <w:rPr>
          <w:rFonts w:hint="eastAsia"/>
          <w:lang w:val="en-US" w:eastAsia="zh-CN"/>
        </w:rPr>
        <w:t>目前贵州省已完成第一次全国地震灾害风险普查任务的省级地震灾害风险普查工作，并在此过程中积累了宝贵的经验。为了更精准摸清贵州省地震灾害风险底数，开展贵州省内市县及乡镇级地震灾害风险普查势在必行，因此急需制定相应的规范标准来指导工作。本标准《地震灾害风险评估与区划技术规范》的编制将为贵州省下一步地震灾害风险普查提供有力指导和依据。</w:t>
      </w:r>
    </w:p>
    <w:p w14:paraId="350E08CE">
      <w:pPr>
        <w:pStyle w:val="6"/>
        <w:spacing w:before="0" w:beforeAutospacing="0" w:after="0" w:afterAutospacing="0" w:line="240" w:lineRule="atLeast"/>
        <w:ind w:firstLine="680"/>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val="en-US" w:eastAsia="zh-CN"/>
        </w:rPr>
        <w:t>二、主要内容</w:t>
      </w:r>
    </w:p>
    <w:p w14:paraId="023C02C2">
      <w:pPr>
        <w:bidi w:val="0"/>
        <w:rPr>
          <w:rFonts w:hint="eastAsia"/>
        </w:rPr>
      </w:pPr>
      <w:r>
        <w:rPr>
          <w:rFonts w:hint="eastAsia"/>
        </w:rPr>
        <w:t>本标准分为前言、</w:t>
      </w:r>
      <w:r>
        <w:rPr>
          <w:rFonts w:hint="eastAsia"/>
          <w:lang w:val="en-US" w:eastAsia="zh-CN"/>
        </w:rPr>
        <w:t>引言、</w:t>
      </w:r>
      <w:r>
        <w:rPr>
          <w:rFonts w:hint="eastAsia"/>
        </w:rPr>
        <w:t>正文、参考文献</w:t>
      </w:r>
      <w:r>
        <w:rPr>
          <w:rFonts w:hint="eastAsia"/>
          <w:lang w:eastAsia="zh-CN"/>
        </w:rPr>
        <w:t>、</w:t>
      </w:r>
      <w:r>
        <w:rPr>
          <w:rFonts w:hint="eastAsia"/>
          <w:lang w:val="en-US" w:eastAsia="zh-CN"/>
        </w:rPr>
        <w:t>附录五</w:t>
      </w:r>
      <w:r>
        <w:rPr>
          <w:rFonts w:hint="eastAsia"/>
        </w:rPr>
        <w:t>部分。其中正文共分为8章，标准正文</w:t>
      </w:r>
      <w:r>
        <w:rPr>
          <w:rFonts w:hint="eastAsia"/>
          <w:lang w:val="en-US" w:eastAsia="zh-CN"/>
        </w:rPr>
        <w:t>主要</w:t>
      </w:r>
      <w:r>
        <w:rPr>
          <w:rFonts w:hint="eastAsia"/>
        </w:rPr>
        <w:t>内容如下：</w:t>
      </w:r>
    </w:p>
    <w:p w14:paraId="78C988C4">
      <w:pPr>
        <w:numPr>
          <w:ilvl w:val="0"/>
          <w:numId w:val="2"/>
        </w:numPr>
        <w:bidi w:val="0"/>
        <w:rPr>
          <w:rFonts w:hint="eastAsia"/>
          <w:lang w:eastAsia="zh-CN"/>
        </w:rPr>
      </w:pPr>
      <w:r>
        <w:rPr>
          <w:rFonts w:hint="eastAsia"/>
          <w:lang w:eastAsia="zh-CN"/>
        </w:rPr>
        <w:t>范围</w:t>
      </w:r>
    </w:p>
    <w:p w14:paraId="1B72968B">
      <w:pPr>
        <w:bidi w:val="0"/>
        <w:rPr>
          <w:rFonts w:hint="eastAsia"/>
        </w:rPr>
      </w:pPr>
      <w:r>
        <w:rPr>
          <w:rFonts w:hint="eastAsia"/>
        </w:rPr>
        <w:t>本文件规定了</w:t>
      </w:r>
      <w:r>
        <w:rPr>
          <w:rFonts w:hint="eastAsia"/>
          <w:lang w:val="en-US" w:eastAsia="zh-CN"/>
        </w:rPr>
        <w:t>贵州省</w:t>
      </w:r>
      <w:r>
        <w:rPr>
          <w:rFonts w:hint="eastAsia"/>
        </w:rPr>
        <w:t>地震灾害风险评估与区划基本流程、资料收集与处理、风险评估方法、风险等级划分、区划方法和成果表达。</w:t>
      </w:r>
    </w:p>
    <w:p w14:paraId="3F53DAD4">
      <w:pPr>
        <w:bidi w:val="0"/>
        <w:rPr>
          <w:rFonts w:hint="eastAsia"/>
          <w:lang w:val="en-US" w:eastAsia="zh-CN"/>
        </w:rPr>
      </w:pPr>
      <w:r>
        <w:rPr>
          <w:rFonts w:hint="eastAsia"/>
        </w:rPr>
        <w:t>本文件适用于</w:t>
      </w:r>
      <w:r>
        <w:rPr>
          <w:rFonts w:hint="eastAsia"/>
          <w:lang w:val="en-US" w:eastAsia="zh-CN"/>
        </w:rPr>
        <w:t>贵州省</w:t>
      </w:r>
      <w:r>
        <w:rPr>
          <w:rFonts w:hint="eastAsia"/>
        </w:rPr>
        <w:t>地震灾害风险评估与区划工作</w:t>
      </w:r>
      <w:r>
        <w:rPr>
          <w:rFonts w:hint="eastAsia"/>
          <w:lang w:eastAsia="zh-CN"/>
        </w:rPr>
        <w:t>。</w:t>
      </w:r>
    </w:p>
    <w:p w14:paraId="4E271DA5">
      <w:pPr>
        <w:numPr>
          <w:ilvl w:val="0"/>
          <w:numId w:val="2"/>
        </w:numPr>
        <w:bidi w:val="0"/>
        <w:rPr>
          <w:rFonts w:hint="eastAsia"/>
          <w:lang w:eastAsia="zh-CN"/>
        </w:rPr>
      </w:pPr>
      <w:r>
        <w:rPr>
          <w:rFonts w:hint="eastAsia"/>
          <w:lang w:eastAsia="zh-CN"/>
        </w:rPr>
        <w:t>规范性引用文件</w:t>
      </w:r>
    </w:p>
    <w:p w14:paraId="2BC2AB46">
      <w:pPr>
        <w:bidi w:val="0"/>
        <w:rPr>
          <w:rFonts w:hint="default"/>
          <w:lang w:val="en-US" w:eastAsia="zh-CN"/>
        </w:rPr>
      </w:pPr>
      <w:r>
        <w:rPr>
          <w:rFonts w:hint="eastAsia"/>
          <w:lang w:eastAsia="zh-CN"/>
        </w:rPr>
        <w:t>规范性引用文件</w:t>
      </w:r>
      <w:r>
        <w:rPr>
          <w:rFonts w:hint="eastAsia"/>
          <w:lang w:val="en-US" w:eastAsia="zh-CN"/>
        </w:rPr>
        <w:t>包括以下文件：</w:t>
      </w:r>
    </w:p>
    <w:p w14:paraId="1E3C5931">
      <w:pPr>
        <w:bidi w:val="0"/>
        <w:rPr>
          <w:rFonts w:hint="eastAsia"/>
          <w:lang w:eastAsia="zh-CN"/>
        </w:rPr>
      </w:pPr>
    </w:p>
    <w:p w14:paraId="72443191">
      <w:pPr>
        <w:bidi w:val="0"/>
        <w:rPr>
          <w:rFonts w:hint="eastAsia"/>
        </w:rPr>
      </w:pPr>
      <w:r>
        <w:rPr>
          <w:rFonts w:hint="eastAsia"/>
        </w:rPr>
        <w:t>GB 17741－2005  工程场地地震安全性评价</w:t>
      </w:r>
    </w:p>
    <w:p w14:paraId="18ADFFF4">
      <w:pPr>
        <w:bidi w:val="0"/>
        <w:rPr>
          <w:rFonts w:hint="eastAsia"/>
        </w:rPr>
      </w:pPr>
      <w:r>
        <w:rPr>
          <w:rFonts w:hint="eastAsia"/>
        </w:rPr>
        <w:t>GB/T 17742-2020 中国地震烈度表</w:t>
      </w:r>
    </w:p>
    <w:p w14:paraId="6E7425A2">
      <w:pPr>
        <w:bidi w:val="0"/>
        <w:rPr>
          <w:rFonts w:hint="eastAsia"/>
        </w:rPr>
      </w:pPr>
      <w:r>
        <w:rPr>
          <w:rFonts w:hint="eastAsia"/>
        </w:rPr>
        <w:t>GB/T 18207 （所有部分）防震减灾术语</w:t>
      </w:r>
    </w:p>
    <w:p w14:paraId="12FE18BA">
      <w:pPr>
        <w:bidi w:val="0"/>
        <w:rPr>
          <w:rFonts w:hint="eastAsia"/>
        </w:rPr>
      </w:pPr>
      <w:r>
        <w:rPr>
          <w:rFonts w:hint="eastAsia"/>
        </w:rPr>
        <w:t>GB/T 18208.1-2011 地震现场工作 第4部分：灾害直接损失评估</w:t>
      </w:r>
    </w:p>
    <w:p w14:paraId="1C07C974">
      <w:pPr>
        <w:bidi w:val="0"/>
        <w:rPr>
          <w:rFonts w:hint="eastAsia"/>
        </w:rPr>
      </w:pPr>
      <w:r>
        <w:rPr>
          <w:rFonts w:hint="eastAsia"/>
        </w:rPr>
        <w:t>GB 18306－2015 中国地震动参数区划图</w:t>
      </w:r>
    </w:p>
    <w:p w14:paraId="396ED781">
      <w:pPr>
        <w:bidi w:val="0"/>
        <w:rPr>
          <w:rFonts w:hint="eastAsia"/>
        </w:rPr>
      </w:pPr>
      <w:r>
        <w:rPr>
          <w:rFonts w:hint="eastAsia"/>
        </w:rPr>
        <w:t>GB/T 23694-2013 风险管理术语</w:t>
      </w:r>
    </w:p>
    <w:p w14:paraId="773A60DC">
      <w:pPr>
        <w:bidi w:val="0"/>
        <w:rPr>
          <w:rFonts w:hint="eastAsia"/>
        </w:rPr>
      </w:pPr>
      <w:r>
        <w:rPr>
          <w:rFonts w:hint="eastAsia"/>
        </w:rPr>
        <w:t>GB/T 24335－2009 建（构）筑物地震破坏等级划分</w:t>
      </w:r>
    </w:p>
    <w:p w14:paraId="1E25A919">
      <w:pPr>
        <w:bidi w:val="0"/>
        <w:rPr>
          <w:rFonts w:hint="eastAsia"/>
        </w:rPr>
      </w:pPr>
      <w:r>
        <w:rPr>
          <w:rFonts w:hint="eastAsia"/>
        </w:rPr>
        <w:t>GB/T 36072－2018 活动断层探测</w:t>
      </w:r>
    </w:p>
    <w:p w14:paraId="1AB8BE07">
      <w:pPr>
        <w:numPr>
          <w:ilvl w:val="0"/>
          <w:numId w:val="3"/>
        </w:numPr>
        <w:bidi w:val="0"/>
        <w:rPr>
          <w:rFonts w:hint="eastAsia"/>
          <w:lang w:val="en-US" w:eastAsia="zh-CN"/>
        </w:rPr>
      </w:pPr>
      <w:r>
        <w:rPr>
          <w:rFonts w:hint="eastAsia"/>
          <w:lang w:val="en-US" w:eastAsia="zh-CN"/>
        </w:rPr>
        <w:t>术语和定义</w:t>
      </w:r>
    </w:p>
    <w:p w14:paraId="64BD79A4">
      <w:pPr>
        <w:bidi w:val="0"/>
        <w:rPr>
          <w:rFonts w:hint="default"/>
          <w:lang w:val="en-US" w:eastAsia="zh-CN"/>
        </w:rPr>
      </w:pPr>
      <w:r>
        <w:rPr>
          <w:rFonts w:hint="eastAsia"/>
          <w:lang w:val="en-US" w:eastAsia="zh-CN"/>
        </w:rPr>
        <w:t>本标准定义的术语有：</w:t>
      </w:r>
    </w:p>
    <w:p w14:paraId="02565E07">
      <w:pPr>
        <w:bidi w:val="0"/>
        <w:rPr>
          <w:rFonts w:hint="eastAsia"/>
        </w:rPr>
      </w:pPr>
      <w:bookmarkStart w:id="0" w:name="_Toc11451"/>
      <w:r>
        <w:rPr>
          <w:rFonts w:hint="eastAsia"/>
        </w:rPr>
        <w:t>地震灾害 earthquake disaster</w:t>
      </w:r>
      <w:bookmarkEnd w:id="0"/>
    </w:p>
    <w:p w14:paraId="6696CFE4">
      <w:pPr>
        <w:bidi w:val="0"/>
        <w:rPr>
          <w:rFonts w:hint="eastAsia"/>
        </w:rPr>
      </w:pPr>
      <w:bookmarkStart w:id="1" w:name="_Toc22837"/>
      <w:r>
        <w:rPr>
          <w:rFonts w:hint="eastAsia"/>
        </w:rPr>
        <w:t>地震灾害风险 seismic disaster risk</w:t>
      </w:r>
      <w:bookmarkEnd w:id="1"/>
    </w:p>
    <w:p w14:paraId="0B52FC64">
      <w:pPr>
        <w:bidi w:val="0"/>
        <w:rPr>
          <w:rFonts w:hint="eastAsia"/>
        </w:rPr>
      </w:pPr>
      <w:bookmarkStart w:id="2" w:name="_Toc27366"/>
      <w:r>
        <w:rPr>
          <w:rFonts w:hint="eastAsia"/>
        </w:rPr>
        <w:t>评估区  assessment area</w:t>
      </w:r>
      <w:bookmarkEnd w:id="2"/>
    </w:p>
    <w:p w14:paraId="5F8D7060">
      <w:pPr>
        <w:bidi w:val="0"/>
        <w:rPr>
          <w:rFonts w:hint="eastAsia"/>
        </w:rPr>
      </w:pPr>
      <w:bookmarkStart w:id="3" w:name="_Toc17384"/>
      <w:r>
        <w:rPr>
          <w:rFonts w:hint="eastAsia"/>
        </w:rPr>
        <w:t>地震危险性  earthquake hazard</w:t>
      </w:r>
      <w:bookmarkEnd w:id="3"/>
    </w:p>
    <w:p w14:paraId="7BE8592D">
      <w:pPr>
        <w:bidi w:val="0"/>
        <w:rPr>
          <w:rFonts w:hint="eastAsia"/>
        </w:rPr>
      </w:pPr>
      <w:bookmarkStart w:id="4" w:name="_Toc21586"/>
      <w:r>
        <w:rPr>
          <w:rFonts w:hint="eastAsia"/>
        </w:rPr>
        <w:t>超越概率 probability of exceedance</w:t>
      </w:r>
      <w:bookmarkEnd w:id="4"/>
    </w:p>
    <w:p w14:paraId="3F5E7939">
      <w:pPr>
        <w:bidi w:val="0"/>
        <w:rPr>
          <w:rFonts w:hint="eastAsia" w:ascii="仿宋" w:hAnsi="仿宋" w:eastAsia="仿宋"/>
          <w:color w:val="000000"/>
          <w:szCs w:val="32"/>
        </w:rPr>
      </w:pPr>
      <w:bookmarkStart w:id="5" w:name="_Toc16311"/>
      <w:r>
        <w:rPr>
          <w:rFonts w:hint="eastAsia"/>
        </w:rPr>
        <w:t>地震动参数 ground motion parameter</w:t>
      </w:r>
      <w:bookmarkEnd w:id="5"/>
    </w:p>
    <w:p w14:paraId="634B1B9D">
      <w:pPr>
        <w:numPr>
          <w:ilvl w:val="0"/>
          <w:numId w:val="3"/>
        </w:numPr>
        <w:bidi w:val="0"/>
        <w:rPr>
          <w:rFonts w:hint="eastAsia"/>
        </w:rPr>
      </w:pPr>
      <w:r>
        <w:rPr>
          <w:rFonts w:hint="eastAsia"/>
          <w:lang w:val="en-US" w:eastAsia="zh-CN"/>
        </w:rPr>
        <w:t>资料收集与处理</w:t>
      </w:r>
      <w:bookmarkStart w:id="6" w:name="_Toc32136"/>
    </w:p>
    <w:p w14:paraId="2111B330">
      <w:pPr>
        <w:bidi w:val="0"/>
        <w:rPr>
          <w:rFonts w:hint="eastAsia"/>
          <w:lang w:eastAsia="zh-CN"/>
        </w:rPr>
      </w:pPr>
      <w:r>
        <w:rPr>
          <w:rFonts w:hint="eastAsia"/>
          <w:lang w:val="en-US" w:eastAsia="zh-CN"/>
        </w:rPr>
        <w:t>资料收集与处理主要包括：</w:t>
      </w:r>
      <w:bookmarkStart w:id="7" w:name="_Toc250"/>
      <w:r>
        <w:rPr>
          <w:rFonts w:hint="eastAsia"/>
        </w:rPr>
        <w:t>地震背景数据</w:t>
      </w:r>
      <w:bookmarkEnd w:id="7"/>
      <w:r>
        <w:rPr>
          <w:rFonts w:hint="eastAsia"/>
          <w:lang w:eastAsia="zh-CN"/>
        </w:rPr>
        <w:t>、</w:t>
      </w:r>
      <w:bookmarkStart w:id="8" w:name="_Toc25743"/>
      <w:r>
        <w:rPr>
          <w:rFonts w:hint="eastAsia"/>
        </w:rPr>
        <w:t>基础地理数据</w:t>
      </w:r>
      <w:bookmarkEnd w:id="8"/>
      <w:r>
        <w:rPr>
          <w:rFonts w:hint="eastAsia"/>
          <w:lang w:eastAsia="zh-CN"/>
        </w:rPr>
        <w:t>、</w:t>
      </w:r>
      <w:bookmarkStart w:id="9" w:name="_Toc20132"/>
      <w:r>
        <w:rPr>
          <w:rFonts w:hint="eastAsia"/>
        </w:rPr>
        <w:t>人口经济统计数据</w:t>
      </w:r>
      <w:bookmarkEnd w:id="9"/>
      <w:r>
        <w:rPr>
          <w:rFonts w:hint="eastAsia"/>
          <w:lang w:eastAsia="zh-CN"/>
        </w:rPr>
        <w:t>、</w:t>
      </w:r>
      <w:bookmarkStart w:id="10" w:name="_Toc21051"/>
      <w:r>
        <w:rPr>
          <w:rFonts w:hint="eastAsia"/>
        </w:rPr>
        <w:t>房屋数据</w:t>
      </w:r>
      <w:bookmarkEnd w:id="10"/>
      <w:r>
        <w:rPr>
          <w:rFonts w:hint="eastAsia"/>
          <w:lang w:val="en-US" w:eastAsia="zh-CN"/>
        </w:rPr>
        <w:t>收集与处理</w:t>
      </w:r>
      <w:r>
        <w:rPr>
          <w:rFonts w:hint="eastAsia"/>
          <w:lang w:eastAsia="zh-CN"/>
        </w:rPr>
        <w:t>。</w:t>
      </w:r>
    </w:p>
    <w:p w14:paraId="0A10B985">
      <w:pPr>
        <w:numPr>
          <w:ilvl w:val="0"/>
          <w:numId w:val="3"/>
        </w:numPr>
        <w:bidi w:val="0"/>
        <w:rPr>
          <w:rFonts w:hint="eastAsia"/>
        </w:rPr>
      </w:pPr>
      <w:r>
        <w:rPr>
          <w:rFonts w:hint="eastAsia"/>
          <w:lang w:val="en-US" w:eastAsia="zh-CN"/>
        </w:rPr>
        <w:t>建筑物地震易损性评估</w:t>
      </w:r>
      <w:bookmarkEnd w:id="6"/>
    </w:p>
    <w:p w14:paraId="4C9D6C62">
      <w:pPr>
        <w:bidi w:val="0"/>
        <w:rPr>
          <w:rFonts w:hint="default"/>
          <w:lang w:val="en-US"/>
        </w:rPr>
      </w:pPr>
      <w:r>
        <w:rPr>
          <w:rFonts w:hint="eastAsia"/>
          <w:lang w:val="en-US" w:eastAsia="zh-CN"/>
        </w:rPr>
        <w:t>本章节主要内容包括：一般规定、建筑物分类、建筑物破坏等级划分、基础资料调查与收集、地震易损性分析方法。</w:t>
      </w:r>
    </w:p>
    <w:p w14:paraId="522EA5FA">
      <w:pPr>
        <w:numPr>
          <w:ilvl w:val="0"/>
          <w:numId w:val="3"/>
        </w:numPr>
        <w:bidi w:val="0"/>
        <w:rPr>
          <w:rFonts w:hint="eastAsia"/>
          <w:lang w:val="en-US" w:eastAsia="zh-CN"/>
        </w:rPr>
      </w:pPr>
      <w:r>
        <w:rPr>
          <w:rFonts w:hint="eastAsia"/>
          <w:lang w:val="en-US" w:eastAsia="zh-CN"/>
        </w:rPr>
        <w:t>风险评估方法</w:t>
      </w:r>
    </w:p>
    <w:p w14:paraId="583F90FF">
      <w:pPr>
        <w:bidi w:val="0"/>
        <w:rPr>
          <w:rFonts w:hint="eastAsia"/>
          <w:lang w:val="en-US" w:eastAsia="zh-CN"/>
        </w:rPr>
      </w:pPr>
      <w:r>
        <w:rPr>
          <w:rFonts w:hint="eastAsia"/>
          <w:lang w:val="en-US" w:eastAsia="zh-CN"/>
        </w:rPr>
        <w:t>风险评估方法包括：</w:t>
      </w:r>
      <w:bookmarkStart w:id="11" w:name="_Toc23092"/>
      <w:r>
        <w:rPr>
          <w:rFonts w:hint="eastAsia"/>
          <w:lang w:val="en-US" w:eastAsia="zh-CN"/>
        </w:rPr>
        <w:t>人员死亡风险评估</w:t>
      </w:r>
      <w:bookmarkEnd w:id="11"/>
      <w:r>
        <w:rPr>
          <w:rFonts w:hint="eastAsia"/>
          <w:lang w:val="en-US" w:eastAsia="zh-CN"/>
        </w:rPr>
        <w:t>、</w:t>
      </w:r>
      <w:bookmarkStart w:id="12" w:name="_Toc22160"/>
      <w:r>
        <w:rPr>
          <w:rFonts w:hint="eastAsia"/>
          <w:lang w:val="en-US" w:eastAsia="zh-CN"/>
        </w:rPr>
        <w:t>直接经济损失风险评估</w:t>
      </w:r>
      <w:bookmarkEnd w:id="12"/>
      <w:r>
        <w:rPr>
          <w:rFonts w:hint="eastAsia"/>
          <w:lang w:val="en-US" w:eastAsia="zh-CN"/>
        </w:rPr>
        <w:t>。</w:t>
      </w:r>
    </w:p>
    <w:p w14:paraId="4A60A503">
      <w:pPr>
        <w:numPr>
          <w:ilvl w:val="0"/>
          <w:numId w:val="3"/>
        </w:numPr>
        <w:bidi w:val="0"/>
        <w:rPr>
          <w:rFonts w:hint="eastAsia"/>
          <w:lang w:val="en-US" w:eastAsia="zh-CN"/>
        </w:rPr>
      </w:pPr>
      <w:r>
        <w:rPr>
          <w:rFonts w:hint="eastAsia"/>
          <w:lang w:val="en-US" w:eastAsia="zh-CN"/>
        </w:rPr>
        <w:t>风险等级划分</w:t>
      </w:r>
    </w:p>
    <w:p w14:paraId="38FE035F">
      <w:pPr>
        <w:bidi w:val="0"/>
        <w:rPr>
          <w:rFonts w:hint="eastAsia"/>
          <w:lang w:val="en-US" w:eastAsia="zh-CN"/>
        </w:rPr>
      </w:pPr>
      <w:r>
        <w:rPr>
          <w:rFonts w:hint="eastAsia"/>
          <w:lang w:val="en-US" w:eastAsia="zh-CN"/>
        </w:rPr>
        <w:t>风险等级划分分为</w:t>
      </w:r>
      <w:bookmarkStart w:id="13" w:name="_Toc10876"/>
      <w:r>
        <w:rPr>
          <w:rFonts w:hint="eastAsia"/>
          <w:lang w:val="en-US" w:eastAsia="zh-CN"/>
        </w:rPr>
        <w:t>人员死亡风险等级</w:t>
      </w:r>
      <w:bookmarkEnd w:id="13"/>
      <w:r>
        <w:rPr>
          <w:rFonts w:hint="eastAsia"/>
          <w:lang w:val="en-US" w:eastAsia="zh-CN"/>
        </w:rPr>
        <w:t>、</w:t>
      </w:r>
      <w:bookmarkStart w:id="14" w:name="_Toc31448"/>
      <w:r>
        <w:rPr>
          <w:rFonts w:hint="eastAsia"/>
          <w:lang w:val="en-US" w:eastAsia="zh-CN"/>
        </w:rPr>
        <w:t>直接经济损失风险等级</w:t>
      </w:r>
      <w:bookmarkEnd w:id="14"/>
      <w:r>
        <w:rPr>
          <w:rFonts w:hint="eastAsia"/>
          <w:lang w:val="en-US" w:eastAsia="zh-CN"/>
        </w:rPr>
        <w:t>、</w:t>
      </w:r>
      <w:bookmarkStart w:id="15" w:name="_Toc12412"/>
      <w:r>
        <w:rPr>
          <w:rFonts w:hint="eastAsia"/>
          <w:lang w:val="en-US" w:eastAsia="zh-CN"/>
        </w:rPr>
        <w:t>综合风险等级</w:t>
      </w:r>
      <w:bookmarkEnd w:id="15"/>
      <w:r>
        <w:rPr>
          <w:rFonts w:hint="eastAsia"/>
          <w:lang w:val="en-US" w:eastAsia="zh-CN"/>
        </w:rPr>
        <w:t>划分。</w:t>
      </w:r>
    </w:p>
    <w:p w14:paraId="32E6E5B5">
      <w:pPr>
        <w:numPr>
          <w:ilvl w:val="0"/>
          <w:numId w:val="3"/>
        </w:numPr>
        <w:bidi w:val="0"/>
        <w:rPr>
          <w:rFonts w:hint="eastAsia"/>
          <w:lang w:val="en-US" w:eastAsia="zh-CN"/>
        </w:rPr>
      </w:pPr>
      <w:r>
        <w:rPr>
          <w:rFonts w:hint="eastAsia"/>
          <w:lang w:val="en-US" w:eastAsia="zh-CN"/>
        </w:rPr>
        <w:t>成果表达形式</w:t>
      </w:r>
    </w:p>
    <w:p w14:paraId="6EB4ABF8">
      <w:pPr>
        <w:bidi w:val="0"/>
        <w:rPr>
          <w:rFonts w:hint="eastAsia"/>
          <w:lang w:val="en-US" w:eastAsia="zh-CN"/>
        </w:rPr>
      </w:pPr>
      <w:r>
        <w:rPr>
          <w:rFonts w:hint="eastAsia"/>
          <w:lang w:val="en-US" w:eastAsia="zh-CN"/>
        </w:rPr>
        <w:t>本章节内容包括</w:t>
      </w:r>
      <w:bookmarkStart w:id="16" w:name="_Toc16824"/>
      <w:r>
        <w:rPr>
          <w:rFonts w:hint="eastAsia"/>
          <w:lang w:val="en-US" w:eastAsia="zh-CN"/>
        </w:rPr>
        <w:t>区域地震灾害风险评估成果表达形式</w:t>
      </w:r>
      <w:bookmarkEnd w:id="16"/>
      <w:r>
        <w:rPr>
          <w:rFonts w:hint="eastAsia"/>
          <w:lang w:val="en-US" w:eastAsia="zh-CN"/>
        </w:rPr>
        <w:t>、图件要求、地震灾害防治对策应确定</w:t>
      </w:r>
      <w:r>
        <w:rPr>
          <w:rFonts w:hint="eastAsia"/>
          <w:lang w:eastAsia="zh-CN"/>
        </w:rPr>
        <w:t>。</w:t>
      </w:r>
    </w:p>
    <w:p w14:paraId="0BE624AF">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、工作简况</w:t>
      </w:r>
    </w:p>
    <w:p w14:paraId="38E9C56A">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（一）任务来源</w:t>
      </w:r>
    </w:p>
    <w:p w14:paraId="2A4B9043">
      <w:pPr>
        <w:bidi w:val="0"/>
        <w:rPr>
          <w:rFonts w:hint="eastAsia"/>
        </w:rPr>
      </w:pPr>
      <w:r>
        <w:rPr>
          <w:rFonts w:hint="eastAsia"/>
          <w:lang w:val="en-US" w:eastAsia="zh-CN"/>
        </w:rPr>
        <w:t>贵州省第一次地震灾害风险普查项目支撑；</w:t>
      </w:r>
    </w:p>
    <w:p w14:paraId="424CFDC7">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（二）编制过程</w:t>
      </w:r>
    </w:p>
    <w:p w14:paraId="406937DA">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1.组织起草阶段。202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月，贵阳市市场监督管理局下达《省市场监管局下达2024年第一批贵州省地方标准制修订计划》的通知，同意标准立项编制后，标准起草小组结合</w:t>
      </w:r>
      <w:r>
        <w:rPr>
          <w:rFonts w:hint="eastAsia" w:ascii="仿宋" w:hAnsi="仿宋" w:eastAsia="仿宋"/>
          <w:color w:val="000000"/>
          <w:sz w:val="32"/>
          <w:szCs w:val="32"/>
          <w:lang w:val="en-US" w:eastAsia="zh-CN"/>
        </w:rPr>
        <w:t>贵州省第一次地震灾害风险普查情况</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并参考其他省份地震灾害风险评估区划要求，</w:t>
      </w:r>
      <w:r>
        <w:rPr>
          <w:rFonts w:hint="eastAsia" w:ascii="仿宋" w:hAnsi="仿宋" w:eastAsia="仿宋"/>
          <w:color w:val="000000"/>
          <w:sz w:val="32"/>
          <w:szCs w:val="32"/>
        </w:rPr>
        <w:t>初步决定标准设立的基本要求、</w:t>
      </w:r>
      <w:r>
        <w:rPr>
          <w:rFonts w:hint="eastAsia" w:ascii="仿宋" w:hAnsi="仿宋" w:eastAsia="仿宋"/>
          <w:color w:val="000000"/>
          <w:sz w:val="32"/>
          <w:szCs w:val="32"/>
          <w:lang w:val="en-US" w:eastAsia="zh-CN"/>
        </w:rPr>
        <w:t>评估</w:t>
      </w:r>
      <w:r>
        <w:rPr>
          <w:rFonts w:hint="eastAsia" w:ascii="仿宋" w:hAnsi="仿宋" w:eastAsia="仿宋"/>
          <w:color w:val="000000"/>
          <w:sz w:val="32"/>
          <w:szCs w:val="32"/>
        </w:rPr>
        <w:t>要求等。</w:t>
      </w:r>
      <w:bookmarkStart w:id="17" w:name="_GoBack"/>
      <w:bookmarkEnd w:id="17"/>
    </w:p>
    <w:p w14:paraId="7B05AC1A">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月，标准起草小组完成工作稿（一稿）的编制工作，经起草小组内部讨论后，进行了修改。</w:t>
      </w:r>
    </w:p>
    <w:p w14:paraId="7973B2CC">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2月，标准起草小组邀请中国地震局工程力学研究所孙柏涛研究员及技术团队作为首席顾问，标准起草小组在其指导下重新展开编制工作（二稿）。</w:t>
      </w:r>
    </w:p>
    <w:p w14:paraId="7DCF6325">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月，标准起草小组完成工作稿（三稿）的编制工作，经起草小组内部讨论后，进行了修改，形成征求意见稿。</w:t>
      </w:r>
    </w:p>
    <w:p w14:paraId="79EFF989">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2.征求意见阶段。由</w:t>
      </w:r>
      <w:r>
        <w:rPr>
          <w:rFonts w:hint="eastAsia" w:ascii="仿宋" w:hAnsi="仿宋" w:eastAsia="仿宋"/>
          <w:color w:val="000000"/>
          <w:sz w:val="32"/>
          <w:szCs w:val="32"/>
          <w:lang w:val="en-US" w:eastAsia="zh-CN"/>
        </w:rPr>
        <w:t>贵州省地震局</w:t>
      </w:r>
      <w:r>
        <w:rPr>
          <w:rFonts w:hint="eastAsia" w:ascii="仿宋" w:hAnsi="仿宋" w:eastAsia="仿宋"/>
          <w:color w:val="000000"/>
          <w:sz w:val="32"/>
          <w:szCs w:val="32"/>
        </w:rPr>
        <w:t>向</w:t>
      </w:r>
      <w:r>
        <w:rPr>
          <w:rFonts w:hint="eastAsia" w:ascii="仿宋" w:hAnsi="仿宋" w:eastAsia="仿宋"/>
          <w:color w:val="000000"/>
          <w:sz w:val="32"/>
          <w:szCs w:val="32"/>
          <w:lang w:val="en-US" w:eastAsia="zh-CN"/>
        </w:rPr>
        <w:t>省应急局、省住建厅、省</w:t>
      </w:r>
      <w:r>
        <w:rPr>
          <w:rFonts w:hint="eastAsia" w:ascii="仿宋" w:hAnsi="仿宋" w:eastAsia="仿宋"/>
          <w:color w:val="000000"/>
          <w:sz w:val="32"/>
          <w:szCs w:val="32"/>
        </w:rPr>
        <w:t>自然资源和规划</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省</w:t>
      </w:r>
      <w:r>
        <w:rPr>
          <w:rFonts w:hint="eastAsia" w:ascii="仿宋" w:hAnsi="仿宋" w:eastAsia="仿宋"/>
          <w:color w:val="000000"/>
          <w:sz w:val="32"/>
          <w:szCs w:val="32"/>
        </w:rPr>
        <w:t>生态环境</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、业内主要企业、各区、县（市）</w:t>
      </w:r>
      <w:r>
        <w:rPr>
          <w:rFonts w:hint="eastAsia" w:ascii="仿宋" w:hAnsi="仿宋" w:eastAsia="仿宋"/>
          <w:color w:val="000000"/>
          <w:sz w:val="32"/>
          <w:szCs w:val="32"/>
          <w:lang w:val="en-US" w:eastAsia="zh-CN"/>
        </w:rPr>
        <w:t>应急</w:t>
      </w:r>
      <w:r>
        <w:rPr>
          <w:rFonts w:hint="eastAsia" w:ascii="仿宋" w:hAnsi="仿宋" w:eastAsia="仿宋"/>
          <w:color w:val="000000"/>
          <w:sz w:val="32"/>
          <w:szCs w:val="32"/>
        </w:rPr>
        <w:t>局征求《地震灾害风险评估技术规范（征求意见稿）》意见，相关单位书面进行了反馈。同时，征求行业专家意见，再次进行了修改。</w:t>
      </w:r>
    </w:p>
    <w:p w14:paraId="6300A643">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3.审查阶段：提请市场监督管理局进行技术审查。</w:t>
      </w:r>
    </w:p>
    <w:p w14:paraId="217DF014">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（三）主要起草人及其工作分工</w:t>
      </w:r>
    </w:p>
    <w:p w14:paraId="314E3249">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p>
    <w:p w14:paraId="0533362F">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p>
    <w:p w14:paraId="1FACA8D6">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p>
    <w:tbl>
      <w:tblPr>
        <w:tblStyle w:val="7"/>
        <w:tblW w:w="9070" w:type="dxa"/>
        <w:jc w:val="center"/>
        <w:tblLayout w:type="fixed"/>
        <w:tblCellMar>
          <w:top w:w="0" w:type="dxa"/>
          <w:left w:w="108" w:type="dxa"/>
          <w:bottom w:w="0" w:type="dxa"/>
          <w:right w:w="108" w:type="dxa"/>
        </w:tblCellMar>
      </w:tblPr>
      <w:tblGrid>
        <w:gridCol w:w="3231"/>
        <w:gridCol w:w="1633"/>
        <w:gridCol w:w="1552"/>
        <w:gridCol w:w="2654"/>
      </w:tblGrid>
      <w:tr w14:paraId="52B01C1D">
        <w:tblPrEx>
          <w:tblCellMar>
            <w:top w:w="0" w:type="dxa"/>
            <w:left w:w="108" w:type="dxa"/>
            <w:bottom w:w="0" w:type="dxa"/>
            <w:right w:w="108" w:type="dxa"/>
          </w:tblCellMar>
        </w:tblPrEx>
        <w:trPr>
          <w:trHeight w:val="23" w:hRule="atLeast"/>
          <w:tblHeader/>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67193FB">
            <w:pPr>
              <w:widowControl/>
              <w:adjustRightInd w:val="0"/>
              <w:snapToGrid w:val="0"/>
              <w:spacing w:line="240" w:lineRule="exact"/>
              <w:ind w:left="0" w:leftChars="0" w:firstLine="0" w:firstLineChars="0"/>
              <w:jc w:val="center"/>
              <w:rPr>
                <w:b/>
                <w:kern w:val="0"/>
                <w:sz w:val="24"/>
                <w:szCs w:val="24"/>
              </w:rPr>
            </w:pPr>
            <w:r>
              <w:rPr>
                <w:b/>
                <w:kern w:val="0"/>
                <w:sz w:val="24"/>
                <w:szCs w:val="24"/>
              </w:rPr>
              <w:t>主要起草单位</w:t>
            </w:r>
          </w:p>
        </w:tc>
        <w:tc>
          <w:tcPr>
            <w:tcW w:w="1633" w:type="dxa"/>
            <w:tcBorders>
              <w:top w:val="single" w:color="000000" w:sz="8" w:space="0"/>
              <w:left w:val="nil"/>
              <w:bottom w:val="single" w:color="000000" w:sz="8" w:space="0"/>
              <w:right w:val="single" w:color="000000" w:sz="8" w:space="0"/>
            </w:tcBorders>
            <w:vAlign w:val="center"/>
          </w:tcPr>
          <w:p w14:paraId="1B253647">
            <w:pPr>
              <w:widowControl/>
              <w:adjustRightInd w:val="0"/>
              <w:snapToGrid w:val="0"/>
              <w:spacing w:line="240" w:lineRule="exact"/>
              <w:ind w:left="0" w:leftChars="0" w:firstLine="0" w:firstLineChars="0"/>
              <w:jc w:val="center"/>
              <w:rPr>
                <w:b/>
                <w:kern w:val="0"/>
                <w:sz w:val="24"/>
                <w:szCs w:val="24"/>
              </w:rPr>
            </w:pPr>
            <w:r>
              <w:rPr>
                <w:b/>
                <w:kern w:val="0"/>
                <w:sz w:val="24"/>
                <w:szCs w:val="24"/>
              </w:rPr>
              <w:t>主要起草人员</w:t>
            </w:r>
          </w:p>
        </w:tc>
        <w:tc>
          <w:tcPr>
            <w:tcW w:w="1552" w:type="dxa"/>
            <w:tcBorders>
              <w:top w:val="single" w:color="000000" w:sz="8" w:space="0"/>
              <w:left w:val="nil"/>
              <w:bottom w:val="single" w:color="000000" w:sz="8" w:space="0"/>
              <w:right w:val="single" w:color="000000" w:sz="8" w:space="0"/>
            </w:tcBorders>
            <w:vAlign w:val="center"/>
          </w:tcPr>
          <w:p w14:paraId="0C91A55F">
            <w:pPr>
              <w:widowControl/>
              <w:adjustRightInd w:val="0"/>
              <w:snapToGrid w:val="0"/>
              <w:spacing w:line="240" w:lineRule="exact"/>
              <w:ind w:left="0" w:leftChars="0" w:firstLine="0" w:firstLineChars="0"/>
              <w:jc w:val="center"/>
              <w:rPr>
                <w:b/>
                <w:kern w:val="0"/>
                <w:sz w:val="24"/>
                <w:szCs w:val="24"/>
              </w:rPr>
            </w:pPr>
            <w:r>
              <w:rPr>
                <w:b/>
                <w:kern w:val="0"/>
                <w:sz w:val="24"/>
                <w:szCs w:val="24"/>
              </w:rPr>
              <w:t>职称</w:t>
            </w:r>
            <w:r>
              <w:rPr>
                <w:rFonts w:hint="eastAsia"/>
                <w:b/>
                <w:kern w:val="0"/>
                <w:sz w:val="24"/>
                <w:szCs w:val="24"/>
              </w:rPr>
              <w:t>/职务</w:t>
            </w:r>
          </w:p>
        </w:tc>
        <w:tc>
          <w:tcPr>
            <w:tcW w:w="2654" w:type="dxa"/>
            <w:tcBorders>
              <w:top w:val="single" w:color="000000" w:sz="8" w:space="0"/>
              <w:left w:val="nil"/>
              <w:bottom w:val="single" w:color="000000" w:sz="8" w:space="0"/>
              <w:right w:val="single" w:color="000000" w:sz="8" w:space="0"/>
            </w:tcBorders>
            <w:vAlign w:val="center"/>
          </w:tcPr>
          <w:p w14:paraId="5A8B5B98">
            <w:pPr>
              <w:widowControl/>
              <w:adjustRightInd w:val="0"/>
              <w:snapToGrid w:val="0"/>
              <w:spacing w:line="240" w:lineRule="exact"/>
              <w:ind w:left="0" w:leftChars="0" w:firstLine="0" w:firstLineChars="0"/>
              <w:jc w:val="center"/>
              <w:rPr>
                <w:b/>
                <w:kern w:val="0"/>
                <w:sz w:val="24"/>
                <w:szCs w:val="24"/>
              </w:rPr>
            </w:pPr>
            <w:r>
              <w:rPr>
                <w:b/>
                <w:kern w:val="0"/>
                <w:sz w:val="24"/>
                <w:szCs w:val="24"/>
              </w:rPr>
              <w:t>任务分工</w:t>
            </w:r>
          </w:p>
        </w:tc>
      </w:tr>
      <w:tr w14:paraId="4A1EEDD2">
        <w:tblPrEx>
          <w:tblCellMar>
            <w:top w:w="0" w:type="dxa"/>
            <w:left w:w="108" w:type="dxa"/>
            <w:bottom w:w="0" w:type="dxa"/>
            <w:right w:w="108" w:type="dxa"/>
          </w:tblCellMar>
        </w:tblPrEx>
        <w:trPr>
          <w:trHeight w:val="419"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0B08E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5EABB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代虎</w:t>
            </w:r>
          </w:p>
        </w:tc>
        <w:tc>
          <w:tcPr>
            <w:tcW w:w="1552" w:type="dxa"/>
            <w:tcBorders>
              <w:top w:val="single" w:color="000000" w:sz="8" w:space="0"/>
              <w:left w:val="nil"/>
              <w:bottom w:val="single" w:color="000000" w:sz="8" w:space="0"/>
              <w:right w:val="single" w:color="000000" w:sz="8" w:space="0"/>
            </w:tcBorders>
            <w:vAlign w:val="center"/>
          </w:tcPr>
          <w:p w14:paraId="5C80CE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C53BD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项目负责人</w:t>
            </w:r>
          </w:p>
        </w:tc>
      </w:tr>
      <w:tr w14:paraId="2673A4D1">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3D35D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0E52C0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唐德龙</w:t>
            </w:r>
          </w:p>
        </w:tc>
        <w:tc>
          <w:tcPr>
            <w:tcW w:w="1552" w:type="dxa"/>
            <w:tcBorders>
              <w:top w:val="single" w:color="000000" w:sz="8" w:space="0"/>
              <w:left w:val="nil"/>
              <w:bottom w:val="single" w:color="000000" w:sz="8" w:space="0"/>
              <w:right w:val="single" w:color="000000" w:sz="8" w:space="0"/>
            </w:tcBorders>
            <w:vAlign w:val="center"/>
          </w:tcPr>
          <w:p w14:paraId="0F6275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4FB68B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项目副负责人</w:t>
            </w:r>
          </w:p>
        </w:tc>
      </w:tr>
      <w:tr w14:paraId="7DCBDE20">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B95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7110D0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周锡梁</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0B32CC3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副主任</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6C564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项目副负责人</w:t>
            </w:r>
          </w:p>
        </w:tc>
      </w:tr>
      <w:tr w14:paraId="6FCCB8AD">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C9656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32FC6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李世杰</w:t>
            </w:r>
          </w:p>
        </w:tc>
        <w:tc>
          <w:tcPr>
            <w:tcW w:w="1552" w:type="dxa"/>
            <w:tcBorders>
              <w:top w:val="single" w:color="000000" w:sz="8" w:space="0"/>
              <w:left w:val="nil"/>
              <w:bottom w:val="single" w:color="000000" w:sz="8" w:space="0"/>
              <w:right w:val="single" w:color="000000" w:sz="8" w:space="0"/>
            </w:tcBorders>
            <w:vAlign w:val="center"/>
          </w:tcPr>
          <w:p w14:paraId="58680F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3871D1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项目技术负责人</w:t>
            </w:r>
          </w:p>
        </w:tc>
      </w:tr>
      <w:tr w14:paraId="0E6F0405">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103FC5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3FBD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孙柏涛</w:t>
            </w:r>
          </w:p>
        </w:tc>
        <w:tc>
          <w:tcPr>
            <w:tcW w:w="1552" w:type="dxa"/>
            <w:tcBorders>
              <w:top w:val="single" w:color="000000" w:sz="8" w:space="0"/>
              <w:left w:val="nil"/>
              <w:bottom w:val="single" w:color="000000" w:sz="8" w:space="0"/>
              <w:right w:val="single" w:color="000000" w:sz="8" w:space="0"/>
            </w:tcBorders>
            <w:vAlign w:val="center"/>
          </w:tcPr>
          <w:p w14:paraId="1F657C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175458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2BB2A9E7">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30CB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7CA0C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陈相兆</w:t>
            </w:r>
          </w:p>
        </w:tc>
        <w:tc>
          <w:tcPr>
            <w:tcW w:w="1552" w:type="dxa"/>
            <w:tcBorders>
              <w:top w:val="single" w:color="000000" w:sz="8" w:space="0"/>
              <w:left w:val="nil"/>
              <w:bottom w:val="single" w:color="000000" w:sz="8" w:space="0"/>
              <w:right w:val="single" w:color="000000" w:sz="8" w:space="0"/>
            </w:tcBorders>
            <w:vAlign w:val="center"/>
          </w:tcPr>
          <w:p w14:paraId="69169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14:paraId="3BBFC6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0B187770">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DA074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445231F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杨永强</w:t>
            </w:r>
          </w:p>
        </w:tc>
        <w:tc>
          <w:tcPr>
            <w:tcW w:w="1552" w:type="dxa"/>
            <w:tcBorders>
              <w:top w:val="single" w:color="000000" w:sz="8" w:space="0"/>
              <w:left w:val="nil"/>
              <w:bottom w:val="single" w:color="000000" w:sz="8" w:space="0"/>
              <w:right w:val="single" w:color="000000" w:sz="8" w:space="0"/>
            </w:tcBorders>
            <w:vAlign w:val="center"/>
          </w:tcPr>
          <w:p w14:paraId="39890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11D365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0270C283">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0FACA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6833A0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张桂欣</w:t>
            </w:r>
          </w:p>
        </w:tc>
        <w:tc>
          <w:tcPr>
            <w:tcW w:w="1552" w:type="dxa"/>
            <w:tcBorders>
              <w:top w:val="single" w:color="000000" w:sz="8" w:space="0"/>
              <w:left w:val="nil"/>
              <w:bottom w:val="single" w:color="000000" w:sz="8" w:space="0"/>
              <w:right w:val="single" w:color="000000" w:sz="8" w:space="0"/>
            </w:tcBorders>
            <w:vAlign w:val="center"/>
          </w:tcPr>
          <w:p w14:paraId="4861B3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14:paraId="077A75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3C2F126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0C12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32912E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唐为民</w:t>
            </w:r>
          </w:p>
        </w:tc>
        <w:tc>
          <w:tcPr>
            <w:tcW w:w="1552" w:type="dxa"/>
            <w:tcBorders>
              <w:top w:val="single" w:color="000000" w:sz="8" w:space="0"/>
              <w:left w:val="nil"/>
              <w:bottom w:val="single" w:color="000000" w:sz="8" w:space="0"/>
              <w:right w:val="single" w:color="000000" w:sz="8" w:space="0"/>
            </w:tcBorders>
            <w:vAlign w:val="center"/>
          </w:tcPr>
          <w:p w14:paraId="29A25F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684EB9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2EAC0741">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3D305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569B3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包海梅</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36250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02047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55E6D40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5A4A6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4784869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张瑞黎</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E4210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51ABA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69B216F4">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7ADC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30C46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陈涛</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74D0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74B25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75839FF6">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6DE6A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BE68B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郑婷婷</w:t>
            </w:r>
          </w:p>
        </w:tc>
        <w:tc>
          <w:tcPr>
            <w:tcW w:w="1552" w:type="dxa"/>
            <w:tcBorders>
              <w:top w:val="single" w:color="000000" w:sz="8" w:space="0"/>
              <w:left w:val="nil"/>
              <w:bottom w:val="single" w:color="000000" w:sz="8" w:space="0"/>
              <w:right w:val="single" w:color="000000" w:sz="8" w:space="0"/>
            </w:tcBorders>
            <w:vAlign w:val="center"/>
          </w:tcPr>
          <w:p w14:paraId="521D7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6869D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7278258B">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89BCD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3D7624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陶卓</w:t>
            </w:r>
          </w:p>
        </w:tc>
        <w:tc>
          <w:tcPr>
            <w:tcW w:w="1552" w:type="dxa"/>
            <w:tcBorders>
              <w:top w:val="single" w:color="000000" w:sz="8" w:space="0"/>
              <w:left w:val="nil"/>
              <w:bottom w:val="single" w:color="000000" w:sz="8" w:space="0"/>
              <w:right w:val="single" w:color="000000" w:sz="8" w:space="0"/>
            </w:tcBorders>
            <w:vAlign w:val="center"/>
          </w:tcPr>
          <w:p w14:paraId="31068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119802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6E08E208">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A8D61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057D7D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李巍</w:t>
            </w:r>
          </w:p>
        </w:tc>
        <w:tc>
          <w:tcPr>
            <w:tcW w:w="1552" w:type="dxa"/>
            <w:tcBorders>
              <w:top w:val="single" w:color="000000" w:sz="8" w:space="0"/>
              <w:left w:val="nil"/>
              <w:bottom w:val="single" w:color="000000" w:sz="8" w:space="0"/>
              <w:right w:val="single" w:color="000000" w:sz="8" w:space="0"/>
            </w:tcBorders>
            <w:vAlign w:val="center"/>
          </w:tcPr>
          <w:p w14:paraId="6E4E0F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74CC38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4DF348A0">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591A7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21EA9C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蒲春林</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41EC04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7ED311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2F233D82">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176ED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3F4DAF6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师娅芳</w:t>
            </w:r>
          </w:p>
        </w:tc>
        <w:tc>
          <w:tcPr>
            <w:tcW w:w="1552" w:type="dxa"/>
            <w:tcBorders>
              <w:top w:val="single" w:color="000000" w:sz="8" w:space="0"/>
              <w:left w:val="nil"/>
              <w:bottom w:val="single" w:color="000000" w:sz="8" w:space="0"/>
              <w:right w:val="single" w:color="000000" w:sz="8" w:space="0"/>
            </w:tcBorders>
            <w:vAlign w:val="center"/>
          </w:tcPr>
          <w:p w14:paraId="65D066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7C55F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3555E048">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FE03A2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4846374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纪星星</w:t>
            </w:r>
          </w:p>
        </w:tc>
        <w:tc>
          <w:tcPr>
            <w:tcW w:w="1552" w:type="dxa"/>
            <w:tcBorders>
              <w:top w:val="single" w:color="000000" w:sz="8" w:space="0"/>
              <w:left w:val="nil"/>
              <w:bottom w:val="single" w:color="000000" w:sz="8" w:space="0"/>
              <w:right w:val="single" w:color="000000" w:sz="8" w:space="0"/>
            </w:tcBorders>
            <w:vAlign w:val="center"/>
          </w:tcPr>
          <w:p w14:paraId="21376A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50D13C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031BA4B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D52EC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16B9DE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罗祎浩</w:t>
            </w:r>
          </w:p>
        </w:tc>
        <w:tc>
          <w:tcPr>
            <w:tcW w:w="1552" w:type="dxa"/>
            <w:tcBorders>
              <w:top w:val="single" w:color="000000" w:sz="8" w:space="0"/>
              <w:left w:val="nil"/>
              <w:bottom w:val="single" w:color="000000" w:sz="8" w:space="0"/>
              <w:right w:val="single" w:color="000000" w:sz="8" w:space="0"/>
            </w:tcBorders>
            <w:vAlign w:val="center"/>
          </w:tcPr>
          <w:p w14:paraId="11B3B1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D3995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116A8CA6">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329124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2D26F8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罗丹芩</w:t>
            </w:r>
          </w:p>
        </w:tc>
        <w:tc>
          <w:tcPr>
            <w:tcW w:w="1552" w:type="dxa"/>
            <w:tcBorders>
              <w:top w:val="single" w:color="000000" w:sz="8" w:space="0"/>
              <w:left w:val="nil"/>
              <w:bottom w:val="single" w:color="000000" w:sz="8" w:space="0"/>
              <w:right w:val="single" w:color="000000" w:sz="8" w:space="0"/>
            </w:tcBorders>
            <w:vAlign w:val="center"/>
          </w:tcPr>
          <w:p w14:paraId="41A1AB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0A737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bl>
    <w:p w14:paraId="744F6F43">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、主要条款的</w:t>
      </w:r>
      <w:r>
        <w:rPr>
          <w:rFonts w:hint="eastAsia" w:ascii="黑体" w:hAnsi="黑体" w:eastAsia="黑体"/>
          <w:sz w:val="32"/>
          <w:szCs w:val="32"/>
        </w:rPr>
        <w:t>说明及确定依据</w:t>
      </w:r>
    </w:p>
    <w:p w14:paraId="2455039F">
      <w:pPr>
        <w:bidi w:val="0"/>
        <w:rPr>
          <w:rFonts w:hint="eastAsia"/>
          <w:lang w:val="en-US" w:eastAsia="zh-CN"/>
        </w:rPr>
      </w:pPr>
      <w:r>
        <w:rPr>
          <w:rFonts w:hint="eastAsia"/>
          <w:lang w:val="en-US" w:eastAsia="zh-CN"/>
        </w:rPr>
        <w:t>本标准主要条款的制定主要参考了</w:t>
      </w:r>
      <w:r>
        <w:rPr>
          <w:rFonts w:hint="eastAsia"/>
        </w:rPr>
        <w:t>FXPC/DZ P-02《地震灾害风险评估技术规范》</w:t>
      </w:r>
      <w:r>
        <w:rPr>
          <w:rFonts w:hint="eastAsia"/>
          <w:lang w:eastAsia="zh-CN"/>
        </w:rPr>
        <w:t>、</w:t>
      </w:r>
      <w:r>
        <w:rPr>
          <w:rFonts w:hint="eastAsia"/>
          <w:lang w:val="en-US" w:eastAsia="zh-CN"/>
        </w:rPr>
        <w:t>DB51/T 3233-2024</w:t>
      </w:r>
      <w:r>
        <w:rPr>
          <w:rFonts w:hint="eastAsia"/>
        </w:rPr>
        <w:t>《地震灾害风险评估</w:t>
      </w:r>
      <w:r>
        <w:rPr>
          <w:rFonts w:hint="eastAsia"/>
          <w:lang w:val="en-US" w:eastAsia="zh-CN"/>
        </w:rPr>
        <w:t>与区划</w:t>
      </w:r>
      <w:r>
        <w:rPr>
          <w:rFonts w:hint="eastAsia"/>
        </w:rPr>
        <w:t>技术规范》</w:t>
      </w:r>
      <w:r>
        <w:rPr>
          <w:rFonts w:hint="eastAsia"/>
          <w:lang w:val="en-US" w:eastAsia="zh-CN"/>
        </w:rPr>
        <w:t>以及其他相关技术规范，并结合贵州省地方特点及实际情况制定</w:t>
      </w:r>
      <w:r>
        <w:rPr>
          <w:rFonts w:hint="eastAsia"/>
          <w:lang w:eastAsia="zh-CN"/>
        </w:rPr>
        <w:t>。</w:t>
      </w:r>
    </w:p>
    <w:p w14:paraId="6751EF8F">
      <w:pPr>
        <w:bidi w:val="0"/>
        <w:rPr>
          <w:rFonts w:hint="eastAsia"/>
        </w:rPr>
      </w:pPr>
      <w:r>
        <w:rPr>
          <w:rFonts w:hint="eastAsia"/>
        </w:rPr>
        <w:t>本标准编制过程中</w:t>
      </w:r>
      <w:r>
        <w:rPr>
          <w:rFonts w:hint="eastAsia"/>
          <w:lang w:val="en-US" w:eastAsia="zh-CN"/>
        </w:rPr>
        <w:t>还</w:t>
      </w:r>
      <w:r>
        <w:rPr>
          <w:rFonts w:hint="eastAsia"/>
        </w:rPr>
        <w:t>引用了</w:t>
      </w:r>
      <w:r>
        <w:rPr>
          <w:rFonts w:hint="eastAsia"/>
          <w:lang w:val="en-US" w:eastAsia="zh-CN"/>
        </w:rPr>
        <w:t>以下规范</w:t>
      </w:r>
      <w:r>
        <w:rPr>
          <w:rFonts w:hint="eastAsia"/>
        </w:rPr>
        <w:t>：</w:t>
      </w:r>
    </w:p>
    <w:p w14:paraId="6334C07A">
      <w:pPr>
        <w:bidi w:val="0"/>
        <w:rPr>
          <w:rFonts w:hint="eastAsia"/>
        </w:rPr>
      </w:pPr>
      <w:r>
        <w:rPr>
          <w:rFonts w:hint="eastAsia"/>
        </w:rPr>
        <w:t>GB 17741－2005  工程场地地震安全性评价</w:t>
      </w:r>
    </w:p>
    <w:p w14:paraId="5CBDA9F4">
      <w:pPr>
        <w:bidi w:val="0"/>
        <w:rPr>
          <w:rFonts w:hint="eastAsia"/>
        </w:rPr>
      </w:pPr>
      <w:r>
        <w:rPr>
          <w:rFonts w:hint="eastAsia"/>
        </w:rPr>
        <w:t>GB/T 17742-2020 中国地震烈度表</w:t>
      </w:r>
    </w:p>
    <w:p w14:paraId="6648BA83">
      <w:pPr>
        <w:bidi w:val="0"/>
        <w:rPr>
          <w:rFonts w:hint="eastAsia"/>
        </w:rPr>
      </w:pPr>
      <w:r>
        <w:rPr>
          <w:rFonts w:hint="eastAsia"/>
        </w:rPr>
        <w:t>GB/T 18207 （所有部分）防震减灾术语</w:t>
      </w:r>
    </w:p>
    <w:p w14:paraId="07913EDD">
      <w:pPr>
        <w:bidi w:val="0"/>
        <w:rPr>
          <w:rFonts w:hint="eastAsia"/>
        </w:rPr>
      </w:pPr>
      <w:r>
        <w:rPr>
          <w:rFonts w:hint="eastAsia"/>
        </w:rPr>
        <w:t>GB/T 18208.1-2011 地震现场工作 第4部分：灾害直接损失评估</w:t>
      </w:r>
    </w:p>
    <w:p w14:paraId="05C17CE0">
      <w:pPr>
        <w:bidi w:val="0"/>
        <w:rPr>
          <w:rFonts w:hint="eastAsia"/>
        </w:rPr>
      </w:pPr>
      <w:r>
        <w:rPr>
          <w:rFonts w:hint="eastAsia"/>
        </w:rPr>
        <w:t>GB 18306－2015 中国地震动参数区划图</w:t>
      </w:r>
    </w:p>
    <w:p w14:paraId="2CBF5811">
      <w:pPr>
        <w:bidi w:val="0"/>
        <w:rPr>
          <w:rFonts w:hint="eastAsia"/>
        </w:rPr>
      </w:pPr>
      <w:r>
        <w:rPr>
          <w:rFonts w:hint="eastAsia"/>
        </w:rPr>
        <w:t>GB/T 23694-2013 风险管理术语</w:t>
      </w:r>
    </w:p>
    <w:p w14:paraId="71FAAEFD">
      <w:pPr>
        <w:bidi w:val="0"/>
        <w:rPr>
          <w:rFonts w:hint="eastAsia"/>
        </w:rPr>
      </w:pPr>
      <w:r>
        <w:rPr>
          <w:rFonts w:hint="eastAsia"/>
        </w:rPr>
        <w:t>GB/T 24335－2009 建（构）筑物地震破坏等级划分</w:t>
      </w:r>
    </w:p>
    <w:p w14:paraId="1AF7A3FD">
      <w:pPr>
        <w:bidi w:val="0"/>
        <w:rPr>
          <w:rFonts w:hint="eastAsia"/>
        </w:rPr>
      </w:pPr>
      <w:r>
        <w:rPr>
          <w:rFonts w:hint="eastAsia"/>
        </w:rPr>
        <w:t>GB/T 36072－2018 活动断层探测</w:t>
      </w:r>
    </w:p>
    <w:p w14:paraId="57B13526">
      <w:pPr>
        <w:bidi w:val="0"/>
        <w:rPr>
          <w:rFonts w:hint="eastAsia"/>
        </w:rPr>
      </w:pPr>
      <w:r>
        <w:rPr>
          <w:rFonts w:hint="eastAsia"/>
        </w:rPr>
        <w:t>这些</w:t>
      </w:r>
      <w:r>
        <w:rPr>
          <w:rFonts w:hint="eastAsia"/>
          <w:lang w:val="en-US" w:eastAsia="zh-CN"/>
        </w:rPr>
        <w:t>规范</w:t>
      </w:r>
      <w:r>
        <w:rPr>
          <w:rFonts w:hint="eastAsia"/>
        </w:rPr>
        <w:t>的引用对本标准的各个相关技术环节关键进行了有效规范。</w:t>
      </w:r>
    </w:p>
    <w:p w14:paraId="0704808C">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、主要试验（或验证）的验证分析报告（测试报告）</w:t>
      </w:r>
    </w:p>
    <w:p w14:paraId="7FCB9307">
      <w:pPr>
        <w:pStyle w:val="6"/>
        <w:spacing w:before="0" w:beforeAutospacing="0" w:after="0" w:afterAutospacing="0" w:line="240" w:lineRule="atLeast"/>
        <w:ind w:firstLine="68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无。</w:t>
      </w:r>
    </w:p>
    <w:p w14:paraId="55708E91">
      <w:pPr>
        <w:pStyle w:val="6"/>
        <w:numPr>
          <w:ilvl w:val="0"/>
          <w:numId w:val="4"/>
        </w:numPr>
        <w:spacing w:before="0" w:beforeAutospacing="0" w:after="0" w:afterAutospacing="0" w:line="240" w:lineRule="atLeast"/>
        <w:ind w:firstLine="680"/>
        <w:rPr>
          <w:rFonts w:hint="eastAsia" w:ascii="黑体" w:hAnsi="黑体" w:eastAsia="黑体"/>
          <w:color w:val="000000"/>
          <w:sz w:val="32"/>
          <w:szCs w:val="32"/>
        </w:rPr>
      </w:pPr>
      <w:r>
        <w:rPr>
          <w:rFonts w:hint="eastAsia" w:ascii="黑体" w:hAnsi="黑体" w:eastAsia="黑体"/>
          <w:color w:val="000000"/>
          <w:sz w:val="32"/>
          <w:szCs w:val="32"/>
        </w:rPr>
        <w:t>标准实施后对经济和社会发展的预期影响及论证</w:t>
      </w:r>
    </w:p>
    <w:p w14:paraId="6B9B2815">
      <w:pPr>
        <w:bidi w:val="0"/>
        <w:rPr>
          <w:rFonts w:hint="eastAsia" w:ascii="仿宋" w:hAnsi="仿宋" w:eastAsia="仿宋"/>
          <w:color w:val="000000"/>
          <w:szCs w:val="32"/>
        </w:rPr>
      </w:pPr>
      <w:r>
        <w:rPr>
          <w:rFonts w:hint="eastAsia"/>
          <w:lang w:val="en-US" w:eastAsia="zh-CN"/>
        </w:rPr>
        <w:t>本标准《地震灾害风险评估与区划技术规范》的实施后将为贵州省地震灾害风险普查工作提供有力指导和依据。</w:t>
      </w:r>
    </w:p>
    <w:p w14:paraId="40885C93">
      <w:pPr>
        <w:pStyle w:val="6"/>
        <w:numPr>
          <w:ilvl w:val="0"/>
          <w:numId w:val="4"/>
        </w:numPr>
        <w:spacing w:before="0" w:beforeAutospacing="0" w:after="0" w:afterAutospacing="0" w:line="240" w:lineRule="atLeast"/>
        <w:ind w:firstLine="680"/>
        <w:rPr>
          <w:rFonts w:ascii="黑体" w:hAnsi="黑体" w:eastAsia="黑体"/>
          <w:color w:val="000000"/>
          <w:sz w:val="32"/>
          <w:szCs w:val="32"/>
        </w:rPr>
      </w:pPr>
      <w:r>
        <w:rPr>
          <w:rFonts w:ascii="黑体" w:hAnsi="黑体" w:eastAsia="黑体"/>
          <w:color w:val="000000"/>
          <w:sz w:val="32"/>
          <w:szCs w:val="32"/>
        </w:rPr>
        <w:t>与国内政府主导制定标准（国家标准、行业标准、地方标准）的协调情况，采用国际标准的先进程度</w:t>
      </w:r>
    </w:p>
    <w:p w14:paraId="4D86D93F">
      <w:pPr>
        <w:bidi w:val="0"/>
        <w:rPr>
          <w:rFonts w:hint="eastAsia"/>
          <w:lang w:val="en-US" w:eastAsia="zh-CN"/>
        </w:rPr>
      </w:pPr>
      <w:r>
        <w:rPr>
          <w:rFonts w:hint="eastAsia"/>
          <w:lang w:val="en-US" w:eastAsia="zh-CN"/>
        </w:rPr>
        <w:t>本标准与</w:t>
      </w:r>
      <w:r>
        <w:rPr>
          <w:rFonts w:hint="eastAsia"/>
        </w:rPr>
        <w:t>FXPC/DZ P-02《地震灾害风险评估技术规范》</w:t>
      </w:r>
      <w:r>
        <w:rPr>
          <w:rFonts w:hint="eastAsia"/>
          <w:lang w:val="en-US" w:eastAsia="zh-CN"/>
        </w:rPr>
        <w:t>协调性较好，又增加了乡镇级地</w:t>
      </w:r>
      <w:r>
        <w:rPr>
          <w:rFonts w:hint="eastAsia"/>
        </w:rPr>
        <w:t>震灾害风险评估</w:t>
      </w:r>
      <w:r>
        <w:rPr>
          <w:rFonts w:hint="eastAsia"/>
          <w:lang w:val="en-US" w:eastAsia="zh-CN"/>
        </w:rPr>
        <w:t>标准。</w:t>
      </w:r>
    </w:p>
    <w:p w14:paraId="3D0697C2">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cs="宋体"/>
          <w:kern w:val="0"/>
          <w:sz w:val="32"/>
          <w:szCs w:val="32"/>
          <w:lang w:val="en-US" w:eastAsia="zh-CN" w:bidi="ar-SA"/>
        </w:rPr>
        <w:t>八</w:t>
      </w:r>
      <w:r>
        <w:rPr>
          <w:rFonts w:hint="eastAsia" w:ascii="黑体" w:hAnsi="黑体" w:eastAsia="黑体"/>
          <w:sz w:val="32"/>
          <w:szCs w:val="32"/>
        </w:rPr>
        <w:t>、</w:t>
      </w:r>
      <w:r>
        <w:rPr>
          <w:rFonts w:ascii="黑体" w:hAnsi="黑体" w:eastAsia="黑体"/>
          <w:sz w:val="32"/>
          <w:szCs w:val="32"/>
        </w:rPr>
        <w:t>与现行法律、法规、强制性标准的关系</w:t>
      </w:r>
    </w:p>
    <w:p w14:paraId="321A3A55">
      <w:pPr>
        <w:bidi w:val="0"/>
        <w:rPr>
          <w:rFonts w:hint="eastAsia" w:ascii="仿宋" w:hAnsi="仿宋" w:eastAsia="仿宋" w:cs="宋体"/>
          <w:color w:val="000000"/>
          <w:szCs w:val="32"/>
        </w:rPr>
      </w:pPr>
      <w:r>
        <w:rPr>
          <w:rFonts w:hint="eastAsia"/>
        </w:rPr>
        <w:t>本标准与有关的现行法律、法规不相抵触。</w:t>
      </w:r>
    </w:p>
    <w:p w14:paraId="365C4E92">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九、</w:t>
      </w:r>
      <w:r>
        <w:rPr>
          <w:rFonts w:hint="eastAsia" w:ascii="黑体" w:hAnsi="黑体" w:eastAsia="黑体"/>
          <w:sz w:val="32"/>
          <w:szCs w:val="32"/>
        </w:rPr>
        <w:t>是否涉及专利（涉及专利的应作出必要专利声明）</w:t>
      </w:r>
    </w:p>
    <w:p w14:paraId="28F4876F">
      <w:pPr>
        <w:bidi w:val="0"/>
        <w:rPr>
          <w:rFonts w:hint="eastAsia"/>
        </w:rPr>
      </w:pPr>
      <w:r>
        <w:rPr>
          <w:rFonts w:hint="eastAsia"/>
        </w:rPr>
        <w:t>本标准中涉及的技术均为开放性研究成果，不涉及关键技术和保密环节，未涉及他人专利。</w:t>
      </w:r>
    </w:p>
    <w:p w14:paraId="3D0E56E8">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hint="eastAsia" w:ascii="黑体" w:hAnsi="黑体" w:eastAsia="黑体"/>
          <w:sz w:val="32"/>
          <w:szCs w:val="32"/>
        </w:rPr>
        <w:t>重大分歧意见的处理过程</w:t>
      </w:r>
    </w:p>
    <w:p w14:paraId="3138C7E7">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p w14:paraId="549C60E0">
      <w:pPr>
        <w:pStyle w:val="6"/>
        <w:numPr>
          <w:ilvl w:val="0"/>
          <w:numId w:val="0"/>
        </w:numPr>
        <w:spacing w:before="0" w:beforeAutospacing="0" w:after="0" w:afterAutospacing="0" w:line="240" w:lineRule="atLeast"/>
        <w:ind w:firstLine="680" w:firstLineChars="0"/>
        <w:rPr>
          <w:rFonts w:ascii="黑体" w:hAnsi="黑体" w:eastAsia="黑体"/>
          <w:sz w:val="32"/>
          <w:szCs w:val="32"/>
        </w:rPr>
      </w:pPr>
      <w:r>
        <w:rPr>
          <w:rFonts w:hint="eastAsia" w:ascii="黑体" w:hAnsi="黑体" w:eastAsia="黑体" w:cs="宋体"/>
          <w:kern w:val="0"/>
          <w:sz w:val="32"/>
          <w:szCs w:val="32"/>
          <w:lang w:val="en-US" w:eastAsia="zh-CN" w:bidi="ar-SA"/>
        </w:rPr>
        <w:t>十一、</w:t>
      </w:r>
      <w:r>
        <w:rPr>
          <w:rFonts w:ascii="黑体" w:hAnsi="黑体" w:eastAsia="黑体"/>
          <w:sz w:val="32"/>
          <w:szCs w:val="32"/>
        </w:rPr>
        <w:t>作为强制性地方标准的依据（推荐性标准无需说明）</w:t>
      </w:r>
    </w:p>
    <w:p w14:paraId="002B3D7E">
      <w:pPr>
        <w:bidi w:val="0"/>
        <w:rPr>
          <w:rFonts w:hint="eastAsia"/>
        </w:rPr>
      </w:pPr>
      <w:r>
        <w:rPr>
          <w:rFonts w:hint="eastAsia"/>
        </w:rPr>
        <w:t>本标准是地震灾害风险评估与区划技术规范技术性规范，具有较强的指导性，技术参考价值高，未对涉及内容进行强制性要求，作为推荐性标准。</w:t>
      </w:r>
    </w:p>
    <w:p w14:paraId="2B9E4563">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十二、</w:t>
      </w:r>
      <w:r>
        <w:rPr>
          <w:rFonts w:hint="eastAsia" w:ascii="黑体" w:hAnsi="黑体" w:eastAsia="黑体"/>
          <w:sz w:val="32"/>
          <w:szCs w:val="32"/>
        </w:rPr>
        <w:t>代替、废止有关地方标准的建议</w:t>
      </w:r>
    </w:p>
    <w:p w14:paraId="314EAD12">
      <w:pPr>
        <w:bidi w:val="0"/>
        <w:rPr>
          <w:rFonts w:hint="eastAsia"/>
        </w:rPr>
      </w:pPr>
      <w:r>
        <w:rPr>
          <w:rFonts w:hint="eastAsia"/>
        </w:rPr>
        <w:t>不代替或者废止有关地方标准。</w:t>
      </w:r>
    </w:p>
    <w:p w14:paraId="6ED8E31E">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十三、</w:t>
      </w:r>
      <w:r>
        <w:rPr>
          <w:rFonts w:hint="eastAsia" w:ascii="黑体" w:hAnsi="黑体" w:eastAsia="黑体"/>
          <w:sz w:val="32"/>
          <w:szCs w:val="32"/>
        </w:rPr>
        <w:t>标准实施的计划、方案</w:t>
      </w:r>
    </w:p>
    <w:p w14:paraId="7971EAE8">
      <w:pPr>
        <w:bidi w:val="0"/>
        <w:rPr>
          <w:rFonts w:hint="eastAsia"/>
        </w:rPr>
      </w:pPr>
      <w:r>
        <w:rPr>
          <w:rFonts w:hint="eastAsia"/>
        </w:rPr>
        <w:t>标准发布后，在正式实施前至开始实施后不久的时间段内，应:(一)利用各类新闻媒体或采用其他方式，广泛宣传《地震灾害风险评估与区划技术规范》。(二)各级标准化主管部门委托标准化技术机构、标准化行业协会或类似社会组织开展宣贯培训班，学习《地震灾害风险评估与区划技术规范》，推动实施标准和使用。</w:t>
      </w:r>
    </w:p>
    <w:p w14:paraId="55A1D47E">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ascii="黑体" w:hAnsi="黑体" w:eastAsia="黑体"/>
          <w:sz w:val="32"/>
          <w:szCs w:val="32"/>
        </w:rPr>
        <w:t>四</w:t>
      </w:r>
      <w:r>
        <w:rPr>
          <w:rFonts w:hint="eastAsia" w:ascii="黑体" w:hAnsi="黑体" w:eastAsia="黑体" w:cs="宋体"/>
          <w:kern w:val="0"/>
          <w:sz w:val="32"/>
          <w:szCs w:val="32"/>
          <w:lang w:val="en-US" w:eastAsia="zh-CN" w:bidi="ar-SA"/>
        </w:rPr>
        <w:t>、</w:t>
      </w:r>
      <w:r>
        <w:rPr>
          <w:rFonts w:hint="eastAsia" w:ascii="黑体" w:hAnsi="黑体" w:eastAsia="黑体"/>
          <w:sz w:val="32"/>
          <w:szCs w:val="32"/>
        </w:rPr>
        <w:t>标准解释、归口管理以及获取意见建议的联系方式（应保证长期稳定）</w:t>
      </w:r>
    </w:p>
    <w:p w14:paraId="395F8379">
      <w:pPr>
        <w:bidi w:val="0"/>
        <w:rPr>
          <w:rFonts w:hint="default"/>
          <w:lang w:val="en-US"/>
        </w:rPr>
      </w:pPr>
      <w:r>
        <w:rPr>
          <w:rFonts w:hint="eastAsia"/>
          <w:lang w:val="en-US" w:eastAsia="zh-CN"/>
        </w:rPr>
        <w:t>联系人：代虎，联系电话：13511990684</w:t>
      </w:r>
    </w:p>
    <w:p w14:paraId="739E44BE">
      <w:pPr>
        <w:pStyle w:val="6"/>
        <w:spacing w:before="0" w:beforeAutospacing="0" w:after="0" w:afterAutospacing="0" w:line="240" w:lineRule="atLeast"/>
        <w:ind w:firstLine="68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、其它应说明的事项。</w:t>
      </w:r>
    </w:p>
    <w:p w14:paraId="0146D37F">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0F88">
    <w:pPr>
      <w:pStyle w:val="4"/>
      <w:jc w:val="center"/>
      <w:rPr>
        <w:rFonts w:ascii="楷体" w:hAnsi="楷体" w:eastAsia="楷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8A83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98A83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11C7B4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80FCB"/>
    <w:multiLevelType w:val="singleLevel"/>
    <w:tmpl w:val="80E80FCB"/>
    <w:lvl w:ilvl="0" w:tentative="0">
      <w:start w:val="1"/>
      <w:numFmt w:val="chineseCounting"/>
      <w:suff w:val="nothing"/>
      <w:lvlText w:val="（%1）"/>
      <w:lvlJc w:val="left"/>
      <w:rPr>
        <w:rFonts w:hint="eastAsia"/>
      </w:rPr>
    </w:lvl>
  </w:abstractNum>
  <w:abstractNum w:abstractNumId="1">
    <w:nsid w:val="B4EA540F"/>
    <w:multiLevelType w:val="singleLevel"/>
    <w:tmpl w:val="B4EA540F"/>
    <w:lvl w:ilvl="0" w:tentative="0">
      <w:start w:val="6"/>
      <w:numFmt w:val="chineseCounting"/>
      <w:suff w:val="nothing"/>
      <w:lvlText w:val="%1、"/>
      <w:lvlJc w:val="left"/>
      <w:rPr>
        <w:rFonts w:hint="eastAsia"/>
      </w:rPr>
    </w:lvl>
  </w:abstractNum>
  <w:abstractNum w:abstractNumId="2">
    <w:nsid w:val="338841C0"/>
    <w:multiLevelType w:val="singleLevel"/>
    <w:tmpl w:val="338841C0"/>
    <w:lvl w:ilvl="0" w:tentative="0">
      <w:start w:val="3"/>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8"/>
    <w:rsid w:val="00131504"/>
    <w:rsid w:val="00316DDC"/>
    <w:rsid w:val="00393485"/>
    <w:rsid w:val="003D5D78"/>
    <w:rsid w:val="004326B0"/>
    <w:rsid w:val="00540505"/>
    <w:rsid w:val="006007BB"/>
    <w:rsid w:val="006A7B78"/>
    <w:rsid w:val="006C1A9C"/>
    <w:rsid w:val="007C504C"/>
    <w:rsid w:val="007E2D34"/>
    <w:rsid w:val="0085361A"/>
    <w:rsid w:val="00927CAA"/>
    <w:rsid w:val="009566BA"/>
    <w:rsid w:val="009F1E2B"/>
    <w:rsid w:val="00A06FEE"/>
    <w:rsid w:val="00AB5DD5"/>
    <w:rsid w:val="00AD07EE"/>
    <w:rsid w:val="00BB0305"/>
    <w:rsid w:val="00BD3698"/>
    <w:rsid w:val="00BE5E05"/>
    <w:rsid w:val="00CA5C77"/>
    <w:rsid w:val="00CF32E2"/>
    <w:rsid w:val="00D70859"/>
    <w:rsid w:val="00DB2534"/>
    <w:rsid w:val="00DE3AF3"/>
    <w:rsid w:val="00E80E89"/>
    <w:rsid w:val="021505BE"/>
    <w:rsid w:val="04BA0587"/>
    <w:rsid w:val="08406CE4"/>
    <w:rsid w:val="0AEE277F"/>
    <w:rsid w:val="0FEC252B"/>
    <w:rsid w:val="13BD1F84"/>
    <w:rsid w:val="145C6D5E"/>
    <w:rsid w:val="14BE1C6B"/>
    <w:rsid w:val="1505553D"/>
    <w:rsid w:val="191044B0"/>
    <w:rsid w:val="1ADA7E65"/>
    <w:rsid w:val="1B2F50C2"/>
    <w:rsid w:val="1B6C34B3"/>
    <w:rsid w:val="1B8A054A"/>
    <w:rsid w:val="221C3FB7"/>
    <w:rsid w:val="22D847AF"/>
    <w:rsid w:val="233B39E0"/>
    <w:rsid w:val="243951D3"/>
    <w:rsid w:val="25261340"/>
    <w:rsid w:val="2A6A4C64"/>
    <w:rsid w:val="2F2667E8"/>
    <w:rsid w:val="3C706E90"/>
    <w:rsid w:val="3C7B72C7"/>
    <w:rsid w:val="3D393726"/>
    <w:rsid w:val="44C22253"/>
    <w:rsid w:val="490D2408"/>
    <w:rsid w:val="4DDF5C24"/>
    <w:rsid w:val="4EF52AA9"/>
    <w:rsid w:val="573FC893"/>
    <w:rsid w:val="58095469"/>
    <w:rsid w:val="5E93283E"/>
    <w:rsid w:val="5EB14D43"/>
    <w:rsid w:val="5EF07A99"/>
    <w:rsid w:val="61366592"/>
    <w:rsid w:val="642A457E"/>
    <w:rsid w:val="648A22F3"/>
    <w:rsid w:val="65BF216B"/>
    <w:rsid w:val="65F067C8"/>
    <w:rsid w:val="69E124C0"/>
    <w:rsid w:val="69EE75C1"/>
    <w:rsid w:val="6A3B3D8A"/>
    <w:rsid w:val="6BD34F48"/>
    <w:rsid w:val="6CD97FB6"/>
    <w:rsid w:val="6E473C8B"/>
    <w:rsid w:val="743D707D"/>
    <w:rsid w:val="746E7115"/>
    <w:rsid w:val="77393D35"/>
    <w:rsid w:val="78174329"/>
    <w:rsid w:val="78B2790D"/>
    <w:rsid w:val="79202AC9"/>
    <w:rsid w:val="7B266E4E"/>
    <w:rsid w:val="7B4C7FC5"/>
    <w:rsid w:val="7C436FFA"/>
    <w:rsid w:val="7D60199E"/>
    <w:rsid w:val="7D965A4F"/>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kern w:val="2"/>
      <w:sz w:val="18"/>
      <w:szCs w:val="18"/>
    </w:rPr>
  </w:style>
  <w:style w:type="character" w:customStyle="1" w:styleId="11">
    <w:name w:val="页脚 Char"/>
    <w:basedOn w:val="9"/>
    <w:link w:val="4"/>
    <w:qFormat/>
    <w:uiPriority w:val="99"/>
    <w:rPr>
      <w:rFonts w:ascii="Times New Roman" w:hAnsi="Times New Roman" w:eastAsia="宋体" w:cs="Times New Roman"/>
      <w:kern w:val="2"/>
      <w:sz w:val="18"/>
      <w:szCs w:val="18"/>
    </w:rPr>
  </w:style>
  <w:style w:type="character" w:customStyle="1" w:styleId="12">
    <w:name w:val="批注框文本 Char"/>
    <w:basedOn w:val="9"/>
    <w:link w:val="3"/>
    <w:semiHidden/>
    <w:qFormat/>
    <w:uiPriority w:val="99"/>
    <w:rPr>
      <w:rFonts w:ascii="Times New Roman" w:hAnsi="Times New Roman" w:eastAsia="宋体" w:cs="Times New Roman"/>
      <w:kern w:val="2"/>
      <w:sz w:val="18"/>
      <w:szCs w:val="18"/>
    </w:r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3"/>
    <w:next w:val="14"/>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1845</Words>
  <Characters>2063</Characters>
  <Lines>5</Lines>
  <Paragraphs>1</Paragraphs>
  <TotalTime>18</TotalTime>
  <ScaleCrop>false</ScaleCrop>
  <LinksUpToDate>false</LinksUpToDate>
  <CharactersWithSpaces>2101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2021-11-04T10:39:00Z</dcterms:created>
  <dc:creator>User</dc:creator>
  <cp:lastModifiedBy>sandy</cp:lastModifiedBy>
  <cp:lastPrinted>2021-11-04T10:37:00Z</cp:lastPrinted>
  <dcterms:modified xsi:type="dcterms:W3CDTF">2025-07-01T01:22:29Z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eyJoZGlkIjoiNmM5YTIwMWI3YTNiMDU4YzEwOGFjY2Q1MGVlODkzYjQiLCJ1c2VySWQiOiIyMDI4NDQ5NjEifQ==</vt:lpwstr>
  </property>
  <property fmtid="{D5CDD505-2E9C-101B-9397-08002B2CF9AE}" pid="4" name="ICV">
    <vt:lpwstr>D99BBBF1C68C4ABAA969ECBB2CA614D4_13</vt:lpwstr>
  </property>
</Properties>
</file>