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省防震减灾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先进个人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 xml:space="preserve">丁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安顺市防震减灾监测中心震害防御科科长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毕节市地震台台长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耿仲奎  兴义市应急管理局地震和地质灾害救援股负责人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潘薪宇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六盘水市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防震减灾中心工程师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何  玲  贵阳市应急管理局地震监测预警中心主任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 xml:space="preserve">米  乐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铜仁市地震服务中心副主任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赵音恒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水城区应急局党委委员、区防震减灾中心主任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 xml:space="preserve">李  军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黔南州应急管理局震害防御科副科长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磊  遵义市防震减灾中心高级会计师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 xml:space="preserve">吴新毅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黔东南州应急管理局减灾中心工作人员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 恒  开阳县应急管理局应急指挥中心负责人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376C0"/>
    <w:rsid w:val="11C376C0"/>
    <w:rsid w:val="1D1A188A"/>
    <w:rsid w:val="37A40C5E"/>
    <w:rsid w:val="4F7A32D7"/>
    <w:rsid w:val="7F913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2021-12-14T01:45:00Z</dcterms:created>
  <dc:creator>扬帆起航</dc:creator>
  <cp:lastModifiedBy>扬帆起航</cp:lastModifiedBy>
  <cp:lastPrinted>2021-12-14T02:24:00Z</cp:lastPrinted>
  <dcterms:modified xsi:type="dcterms:W3CDTF">2021-12-22T08:47:31Z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7DE22D612EAE4108948F549BBF4BA2A6</vt:lpwstr>
  </property>
</Properties>
</file>